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D03E27">
      <w:pPr>
        <w:pStyle w:val="10"/>
        <w:keepNext w:val="0"/>
        <w:keepLines w:val="0"/>
        <w:pageBreakBefore w:val="0"/>
        <w:widowControl/>
        <w:kinsoku/>
        <w:wordWrap/>
        <w:overflowPunct/>
        <w:topLinePunct w:val="0"/>
        <w:autoSpaceDE/>
        <w:autoSpaceDN/>
        <w:bidi w:val="0"/>
        <w:adjustRightInd w:val="0"/>
        <w:snapToGrid/>
        <w:spacing w:before="0" w:beforeAutospacing="0" w:after="0" w:afterAutospacing="0" w:line="560" w:lineRule="exact"/>
        <w:jc w:val="center"/>
        <w:textAlignment w:val="auto"/>
        <w:outlineLvl w:val="0"/>
        <w:rPr>
          <w:rFonts w:hint="eastAsia" w:ascii="方正小标宋简体" w:hAnsi="仿宋" w:eastAsia="方正小标宋简体" w:cs="仿宋"/>
          <w:b w:val="0"/>
          <w:bCs/>
          <w:color w:val="auto"/>
          <w:sz w:val="44"/>
          <w:szCs w:val="44"/>
        </w:rPr>
      </w:pPr>
      <w:r>
        <w:rPr>
          <w:rFonts w:hint="eastAsia" w:ascii="方正小标宋简体" w:hAnsi="仿宋" w:eastAsia="方正小标宋简体" w:cs="仿宋"/>
          <w:b w:val="0"/>
          <w:bCs/>
          <w:color w:val="auto"/>
          <w:sz w:val="44"/>
          <w:szCs w:val="44"/>
          <w:lang w:val="en-US" w:eastAsia="zh-CN"/>
        </w:rPr>
        <w:t>关于印发《</w:t>
      </w:r>
      <w:r>
        <w:rPr>
          <w:rFonts w:hint="eastAsia" w:ascii="方正小标宋简体" w:hAnsi="仿宋" w:eastAsia="方正小标宋简体" w:cs="仿宋"/>
          <w:b w:val="0"/>
          <w:bCs/>
          <w:color w:val="auto"/>
          <w:sz w:val="44"/>
          <w:szCs w:val="44"/>
        </w:rPr>
        <w:t>鄂尔多斯市职业教育专项资金</w:t>
      </w:r>
    </w:p>
    <w:p w14:paraId="21135122">
      <w:pPr>
        <w:pStyle w:val="10"/>
        <w:keepNext w:val="0"/>
        <w:keepLines w:val="0"/>
        <w:pageBreakBefore w:val="0"/>
        <w:widowControl/>
        <w:kinsoku/>
        <w:wordWrap/>
        <w:overflowPunct/>
        <w:topLinePunct w:val="0"/>
        <w:autoSpaceDE/>
        <w:autoSpaceDN/>
        <w:bidi w:val="0"/>
        <w:adjustRightInd w:val="0"/>
        <w:snapToGrid/>
        <w:spacing w:before="0" w:beforeAutospacing="0" w:after="0" w:afterAutospacing="0" w:line="560" w:lineRule="exact"/>
        <w:jc w:val="center"/>
        <w:textAlignment w:val="auto"/>
        <w:outlineLvl w:val="0"/>
        <w:rPr>
          <w:rFonts w:hint="eastAsia" w:ascii="方正小标宋简体" w:hAnsi="仿宋" w:eastAsia="方正小标宋简体" w:cs="仿宋"/>
          <w:b w:val="0"/>
          <w:bCs/>
          <w:color w:val="auto"/>
          <w:sz w:val="44"/>
          <w:szCs w:val="44"/>
          <w:lang w:val="en-US" w:eastAsia="zh-CN"/>
        </w:rPr>
      </w:pPr>
      <w:r>
        <w:rPr>
          <w:rFonts w:hint="eastAsia" w:ascii="方正小标宋简体" w:hAnsi="仿宋" w:eastAsia="方正小标宋简体" w:cs="仿宋"/>
          <w:b w:val="0"/>
          <w:bCs/>
          <w:color w:val="auto"/>
          <w:sz w:val="44"/>
          <w:szCs w:val="44"/>
        </w:rPr>
        <w:t>管理办法</w:t>
      </w:r>
      <w:r>
        <w:rPr>
          <w:rFonts w:hint="eastAsia" w:ascii="方正小标宋简体" w:hAnsi="仿宋" w:eastAsia="方正小标宋简体" w:cs="仿宋"/>
          <w:b w:val="0"/>
          <w:bCs/>
          <w:color w:val="auto"/>
          <w:sz w:val="44"/>
          <w:szCs w:val="44"/>
          <w:lang w:eastAsia="zh-CN"/>
        </w:rPr>
        <w:t>（试行）</w:t>
      </w:r>
      <w:r>
        <w:rPr>
          <w:rFonts w:hint="eastAsia" w:ascii="方正小标宋简体" w:hAnsi="仿宋" w:eastAsia="方正小标宋简体" w:cs="仿宋"/>
          <w:b w:val="0"/>
          <w:bCs/>
          <w:color w:val="auto"/>
          <w:sz w:val="44"/>
          <w:szCs w:val="44"/>
          <w:lang w:val="en-US" w:eastAsia="zh-CN"/>
        </w:rPr>
        <w:t>》的通知</w:t>
      </w:r>
    </w:p>
    <w:p w14:paraId="42A4CEAC">
      <w:pPr>
        <w:pStyle w:val="10"/>
        <w:keepNext w:val="0"/>
        <w:keepLines w:val="0"/>
        <w:pageBreakBefore w:val="0"/>
        <w:widowControl/>
        <w:kinsoku/>
        <w:wordWrap/>
        <w:overflowPunct/>
        <w:topLinePunct w:val="0"/>
        <w:autoSpaceDE/>
        <w:autoSpaceDN/>
        <w:bidi w:val="0"/>
        <w:adjustRightInd w:val="0"/>
        <w:snapToGrid/>
        <w:spacing w:before="0" w:beforeAutospacing="0" w:after="0" w:afterAutospacing="0" w:line="560" w:lineRule="exact"/>
        <w:jc w:val="center"/>
        <w:textAlignment w:val="auto"/>
        <w:outlineLvl w:val="0"/>
        <w:rPr>
          <w:rFonts w:hint="eastAsia" w:ascii="方正小标宋简体" w:hAnsi="仿宋" w:eastAsia="方正小标宋简体" w:cs="仿宋"/>
          <w:b w:val="0"/>
          <w:bCs/>
          <w:color w:val="auto"/>
          <w:sz w:val="32"/>
          <w:szCs w:val="32"/>
          <w:lang w:val="en-US" w:eastAsia="zh-CN"/>
        </w:rPr>
      </w:pPr>
    </w:p>
    <w:p w14:paraId="5AB0303D">
      <w:pPr>
        <w:pStyle w:val="10"/>
        <w:keepNext w:val="0"/>
        <w:keepLines w:val="0"/>
        <w:pageBreakBefore w:val="0"/>
        <w:widowControl/>
        <w:kinsoku/>
        <w:wordWrap/>
        <w:overflowPunct/>
        <w:topLinePunct w:val="0"/>
        <w:autoSpaceDE/>
        <w:autoSpaceDN/>
        <w:bidi w:val="0"/>
        <w:adjustRightInd w:val="0"/>
        <w:snapToGrid/>
        <w:spacing w:before="0" w:beforeAutospacing="0" w:after="0" w:afterAutospacing="0" w:line="560" w:lineRule="exact"/>
        <w:jc w:val="left"/>
        <w:textAlignment w:val="auto"/>
        <w:outlineLvl w:val="0"/>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各旗区教育体育局、财政局，市属各高校、市直属中职学校及市本级有关单位：</w:t>
      </w:r>
    </w:p>
    <w:p w14:paraId="102C3091">
      <w:pPr>
        <w:pStyle w:val="10"/>
        <w:keepNext w:val="0"/>
        <w:keepLines w:val="0"/>
        <w:pageBreakBefore w:val="0"/>
        <w:widowControl/>
        <w:kinsoku/>
        <w:wordWrap/>
        <w:overflowPunct/>
        <w:topLinePunct w:val="0"/>
        <w:autoSpaceDE/>
        <w:autoSpaceDN/>
        <w:bidi w:val="0"/>
        <w:adjustRightInd w:val="0"/>
        <w:snapToGrid/>
        <w:spacing w:before="0" w:beforeAutospacing="0" w:after="0" w:afterAutospacing="0" w:line="560" w:lineRule="exact"/>
        <w:ind w:firstLine="640" w:firstLineChars="200"/>
        <w:jc w:val="left"/>
        <w:textAlignment w:val="auto"/>
        <w:outlineLvl w:val="0"/>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为规范和加强鄂尔多斯市职业教育专项资金管理，充分发挥专项资金的扶持、激励和导向作用，提高专项资金使用效益，现将《鄂尔多斯市职业教育专项资金管理办法（试行）》印发给你们，请遵照执行。</w:t>
      </w:r>
    </w:p>
    <w:p w14:paraId="55696A47">
      <w:pPr>
        <w:pStyle w:val="10"/>
        <w:keepNext w:val="0"/>
        <w:keepLines w:val="0"/>
        <w:pageBreakBefore w:val="0"/>
        <w:widowControl/>
        <w:kinsoku/>
        <w:wordWrap/>
        <w:overflowPunct/>
        <w:topLinePunct w:val="0"/>
        <w:autoSpaceDE/>
        <w:autoSpaceDN/>
        <w:bidi w:val="0"/>
        <w:adjustRightInd w:val="0"/>
        <w:snapToGrid/>
        <w:spacing w:before="0" w:beforeAutospacing="0" w:after="0" w:afterAutospacing="0" w:line="560" w:lineRule="exact"/>
        <w:ind w:firstLine="640" w:firstLineChars="200"/>
        <w:jc w:val="left"/>
        <w:textAlignment w:val="auto"/>
        <w:outlineLvl w:val="0"/>
        <w:rPr>
          <w:rFonts w:hint="eastAsia" w:ascii="仿宋_GB2312" w:hAnsi="仿宋_GB2312" w:eastAsia="仿宋_GB2312" w:cs="仿宋_GB2312"/>
          <w:b w:val="0"/>
          <w:bCs/>
          <w:color w:val="auto"/>
          <w:sz w:val="32"/>
          <w:szCs w:val="32"/>
          <w:lang w:val="en-US" w:eastAsia="zh-CN"/>
        </w:rPr>
      </w:pPr>
    </w:p>
    <w:p w14:paraId="5A1F38BF">
      <w:pPr>
        <w:pStyle w:val="10"/>
        <w:keepNext w:val="0"/>
        <w:keepLines w:val="0"/>
        <w:pageBreakBefore w:val="0"/>
        <w:widowControl/>
        <w:kinsoku/>
        <w:wordWrap/>
        <w:overflowPunct/>
        <w:topLinePunct w:val="0"/>
        <w:autoSpaceDE/>
        <w:autoSpaceDN/>
        <w:bidi w:val="0"/>
        <w:adjustRightInd w:val="0"/>
        <w:snapToGrid/>
        <w:spacing w:before="0" w:beforeAutospacing="0" w:after="0" w:afterAutospacing="0" w:line="560" w:lineRule="exact"/>
        <w:ind w:firstLine="640" w:firstLineChars="200"/>
        <w:jc w:val="left"/>
        <w:textAlignment w:val="auto"/>
        <w:outlineLvl w:val="0"/>
        <w:rPr>
          <w:rFonts w:hint="eastAsia" w:ascii="仿宋_GB2312" w:hAnsi="仿宋_GB2312" w:eastAsia="仿宋_GB2312" w:cs="仿宋_GB2312"/>
          <w:b w:val="0"/>
          <w:bCs/>
          <w:color w:val="auto"/>
          <w:sz w:val="32"/>
          <w:szCs w:val="32"/>
          <w:lang w:val="en-US" w:eastAsia="zh-CN"/>
        </w:rPr>
      </w:pPr>
    </w:p>
    <w:p w14:paraId="586DB3FB">
      <w:pPr>
        <w:pStyle w:val="10"/>
        <w:keepNext w:val="0"/>
        <w:keepLines w:val="0"/>
        <w:pageBreakBefore w:val="0"/>
        <w:widowControl/>
        <w:kinsoku/>
        <w:wordWrap/>
        <w:overflowPunct/>
        <w:topLinePunct w:val="0"/>
        <w:autoSpaceDE/>
        <w:autoSpaceDN/>
        <w:bidi w:val="0"/>
        <w:adjustRightInd w:val="0"/>
        <w:snapToGrid/>
        <w:spacing w:before="0" w:beforeAutospacing="0" w:after="0" w:afterAutospacing="0" w:line="560" w:lineRule="exact"/>
        <w:ind w:firstLine="640" w:firstLineChars="200"/>
        <w:jc w:val="left"/>
        <w:textAlignment w:val="auto"/>
        <w:outlineLvl w:val="0"/>
        <w:rPr>
          <w:rFonts w:hint="eastAsia" w:ascii="仿宋_GB2312" w:hAnsi="仿宋_GB2312" w:eastAsia="仿宋_GB2312" w:cs="仿宋_GB2312"/>
          <w:b w:val="0"/>
          <w:bCs/>
          <w:color w:val="auto"/>
          <w:sz w:val="32"/>
          <w:szCs w:val="32"/>
          <w:lang w:val="en-US" w:eastAsia="zh-CN"/>
        </w:rPr>
      </w:pPr>
    </w:p>
    <w:p w14:paraId="77BB5493">
      <w:pPr>
        <w:pStyle w:val="10"/>
        <w:keepNext w:val="0"/>
        <w:keepLines w:val="0"/>
        <w:pageBreakBefore w:val="0"/>
        <w:widowControl/>
        <w:kinsoku/>
        <w:wordWrap/>
        <w:overflowPunct/>
        <w:topLinePunct w:val="0"/>
        <w:autoSpaceDE/>
        <w:autoSpaceDN/>
        <w:bidi w:val="0"/>
        <w:adjustRightInd w:val="0"/>
        <w:snapToGrid/>
        <w:spacing w:before="0" w:beforeAutospacing="0" w:after="0" w:afterAutospacing="0" w:line="560" w:lineRule="exact"/>
        <w:ind w:firstLine="640" w:firstLineChars="200"/>
        <w:jc w:val="left"/>
        <w:textAlignment w:val="auto"/>
        <w:outlineLvl w:val="0"/>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鄂尔多斯市教育体育局          鄂尔多斯市财政局</w:t>
      </w:r>
    </w:p>
    <w:p w14:paraId="2F5BE129">
      <w:pPr>
        <w:pStyle w:val="10"/>
        <w:keepNext w:val="0"/>
        <w:keepLines w:val="0"/>
        <w:pageBreakBefore w:val="0"/>
        <w:widowControl/>
        <w:kinsoku/>
        <w:wordWrap/>
        <w:overflowPunct/>
        <w:topLinePunct w:val="0"/>
        <w:autoSpaceDE/>
        <w:autoSpaceDN/>
        <w:bidi w:val="0"/>
        <w:adjustRightInd w:val="0"/>
        <w:snapToGrid/>
        <w:spacing w:before="0" w:beforeAutospacing="0" w:after="0" w:afterAutospacing="0" w:line="560" w:lineRule="exact"/>
        <w:ind w:firstLine="640" w:firstLineChars="200"/>
        <w:jc w:val="left"/>
        <w:textAlignment w:val="auto"/>
        <w:outlineLvl w:val="0"/>
        <w:rPr>
          <w:rFonts w:hint="default"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 xml:space="preserve">                               2025年7月3日</w:t>
      </w:r>
    </w:p>
    <w:p w14:paraId="5C270FC9">
      <w:pPr>
        <w:pStyle w:val="10"/>
        <w:pageBreakBefore w:val="0"/>
        <w:widowControl/>
        <w:kinsoku/>
        <w:wordWrap/>
        <w:overflowPunct/>
        <w:topLinePunct w:val="0"/>
        <w:autoSpaceDE/>
        <w:autoSpaceDN/>
        <w:bidi w:val="0"/>
        <w:adjustRightInd w:val="0"/>
        <w:snapToGrid/>
        <w:spacing w:before="0" w:beforeAutospacing="0" w:after="0" w:afterAutospacing="0" w:line="560" w:lineRule="exact"/>
        <w:jc w:val="center"/>
        <w:textAlignment w:val="auto"/>
        <w:outlineLvl w:val="0"/>
        <w:rPr>
          <w:rFonts w:hint="eastAsia" w:ascii="方正小标宋简体" w:hAnsi="仿宋" w:eastAsia="方正小标宋简体" w:cs="仿宋"/>
          <w:b w:val="0"/>
          <w:bCs/>
          <w:color w:val="auto"/>
          <w:sz w:val="44"/>
          <w:szCs w:val="44"/>
        </w:rPr>
        <w:sectPr>
          <w:pgSz w:w="11906" w:h="16838"/>
          <w:pgMar w:top="1440" w:right="1644" w:bottom="1440" w:left="1644" w:header="851" w:footer="992" w:gutter="0"/>
          <w:pgNumType w:fmt="numberInDash"/>
          <w:cols w:space="425" w:num="1"/>
          <w:docGrid w:type="lines" w:linePitch="312" w:charSpace="0"/>
        </w:sectPr>
      </w:pPr>
    </w:p>
    <w:p w14:paraId="2507AF30">
      <w:pPr>
        <w:pStyle w:val="10"/>
        <w:pageBreakBefore w:val="0"/>
        <w:widowControl/>
        <w:kinsoku/>
        <w:wordWrap/>
        <w:overflowPunct/>
        <w:topLinePunct w:val="0"/>
        <w:autoSpaceDE/>
        <w:autoSpaceDN/>
        <w:bidi w:val="0"/>
        <w:adjustRightInd w:val="0"/>
        <w:snapToGrid/>
        <w:spacing w:before="0" w:beforeAutospacing="0" w:after="0" w:afterAutospacing="0" w:line="560" w:lineRule="exact"/>
        <w:jc w:val="center"/>
        <w:textAlignment w:val="auto"/>
        <w:outlineLvl w:val="0"/>
        <w:rPr>
          <w:rFonts w:hint="eastAsia"/>
          <w:b w:val="0"/>
          <w:bCs/>
          <w:color w:val="auto"/>
          <w:lang w:val="en-US" w:eastAsia="zh-CN"/>
        </w:rPr>
      </w:pPr>
      <w:r>
        <w:rPr>
          <w:rFonts w:hint="eastAsia" w:ascii="方正小标宋简体" w:hAnsi="仿宋" w:eastAsia="方正小标宋简体" w:cs="仿宋"/>
          <w:b w:val="0"/>
          <w:bCs/>
          <w:color w:val="auto"/>
          <w:spacing w:val="-11"/>
          <w:sz w:val="44"/>
          <w:szCs w:val="44"/>
        </w:rPr>
        <w:t>鄂尔多斯市职业教育专项资金管理办法</w:t>
      </w:r>
      <w:r>
        <w:rPr>
          <w:rFonts w:hint="eastAsia" w:ascii="方正小标宋简体" w:hAnsi="仿宋" w:eastAsia="方正小标宋简体" w:cs="仿宋"/>
          <w:b w:val="0"/>
          <w:bCs/>
          <w:color w:val="auto"/>
          <w:spacing w:val="-11"/>
          <w:sz w:val="44"/>
          <w:szCs w:val="44"/>
          <w:lang w:eastAsia="zh-CN"/>
        </w:rPr>
        <w:t>（试行）</w:t>
      </w:r>
    </w:p>
    <w:p w14:paraId="56C08903">
      <w:pPr>
        <w:pStyle w:val="3"/>
        <w:pageBreakBefore w:val="0"/>
        <w:kinsoku/>
        <w:wordWrap/>
        <w:overflowPunct/>
        <w:topLinePunct w:val="0"/>
        <w:autoSpaceDE/>
        <w:autoSpaceDN/>
        <w:bidi w:val="0"/>
        <w:snapToGrid/>
        <w:spacing w:line="560" w:lineRule="exact"/>
        <w:textAlignment w:val="auto"/>
        <w:rPr>
          <w:rFonts w:hint="eastAsia"/>
          <w:b w:val="0"/>
          <w:bCs/>
          <w:color w:val="auto"/>
          <w:lang w:val="en-US" w:eastAsia="zh-CN"/>
        </w:rPr>
      </w:pPr>
      <w:r>
        <w:rPr>
          <w:rFonts w:hint="eastAsia"/>
          <w:b w:val="0"/>
          <w:bCs/>
          <w:color w:val="auto"/>
          <w:lang w:val="en-US" w:eastAsia="zh-CN"/>
        </w:rPr>
        <w:t>第一章  总 则</w:t>
      </w:r>
    </w:p>
    <w:p w14:paraId="5DBCA0F7">
      <w:pPr>
        <w:pStyle w:val="10"/>
        <w:pageBreakBefore w:val="0"/>
        <w:widowControl/>
        <w:numPr>
          <w:ilvl w:val="0"/>
          <w:numId w:val="0"/>
        </w:numPr>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kern w:val="2"/>
          <w:sz w:val="32"/>
          <w:szCs w:val="32"/>
          <w:lang w:val="en-US" w:eastAsia="zh-CN" w:bidi="ar"/>
        </w:rPr>
      </w:pPr>
      <w:r>
        <w:rPr>
          <w:rFonts w:hint="eastAsia" w:ascii="楷体" w:hAnsi="楷体" w:eastAsia="楷体" w:cs="楷体"/>
          <w:b w:val="0"/>
          <w:bCs/>
          <w:color w:val="auto"/>
          <w:kern w:val="2"/>
          <w:sz w:val="32"/>
          <w:szCs w:val="32"/>
          <w:lang w:val="en-US" w:eastAsia="zh-CN" w:bidi="ar"/>
        </w:rPr>
        <w:t xml:space="preserve">第一条  </w:t>
      </w:r>
      <w:r>
        <w:rPr>
          <w:rFonts w:hint="eastAsia" w:ascii="仿宋_GB2312" w:hAnsi="仿宋_GB2312" w:eastAsia="仿宋_GB2312" w:cs="仿宋_GB2312"/>
          <w:b w:val="0"/>
          <w:bCs/>
          <w:color w:val="auto"/>
          <w:kern w:val="2"/>
          <w:sz w:val="32"/>
          <w:szCs w:val="32"/>
          <w:lang w:val="en-US" w:eastAsia="zh-CN" w:bidi="ar"/>
        </w:rPr>
        <w:t>为规范和加强鄂尔多斯市职业教育专项资金管理，充分发挥专项资金的扶持、激励和导向作用，提高专项资金使用效益，促进鄂尔多斯市职业教育改革发展，根据《内蒙古自治区职业教育专项资金管理办法》（内教发〔2025〕4号）《</w:t>
      </w:r>
      <w:bookmarkStart w:id="0" w:name="OLE_LINK14"/>
      <w:bookmarkStart w:id="1" w:name="OLE_LINK13"/>
      <w:r>
        <w:rPr>
          <w:rFonts w:hint="eastAsia" w:ascii="仿宋_GB2312" w:hAnsi="仿宋_GB2312" w:eastAsia="仿宋_GB2312" w:cs="仿宋_GB2312"/>
          <w:b w:val="0"/>
          <w:bCs/>
          <w:color w:val="auto"/>
          <w:kern w:val="2"/>
          <w:sz w:val="32"/>
          <w:szCs w:val="32"/>
          <w:lang w:val="en-US" w:eastAsia="zh-CN" w:bidi="ar"/>
        </w:rPr>
        <w:t>鄂尔多斯市人民政府关于印发鄂尔多斯市职业教育改革发展实施方案的通知</w:t>
      </w:r>
      <w:bookmarkEnd w:id="0"/>
      <w:bookmarkEnd w:id="1"/>
      <w:r>
        <w:rPr>
          <w:rFonts w:hint="eastAsia" w:ascii="仿宋_GB2312" w:hAnsi="仿宋_GB2312" w:eastAsia="仿宋_GB2312" w:cs="仿宋_GB2312"/>
          <w:b w:val="0"/>
          <w:bCs/>
          <w:color w:val="auto"/>
          <w:kern w:val="2"/>
          <w:sz w:val="32"/>
          <w:szCs w:val="32"/>
          <w:lang w:val="en-US" w:eastAsia="zh-CN" w:bidi="ar"/>
        </w:rPr>
        <w:t>》（鄂府发〔2022〕78号）《鄂尔多斯市人民政府关于印发职业教育改革发展激励办法的通知》（鄂府发〔2022〕100号）和国家、自治区预算管理有关规定，以铸牢中华民族共同体意识为工作主线，结合鄂尔多斯市实际，制定本办法。</w:t>
      </w:r>
    </w:p>
    <w:p w14:paraId="1C54B313">
      <w:pPr>
        <w:pStyle w:val="10"/>
        <w:pageBreakBefore w:val="0"/>
        <w:widowControl/>
        <w:numPr>
          <w:ilvl w:val="0"/>
          <w:numId w:val="0"/>
        </w:numPr>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kern w:val="2"/>
          <w:sz w:val="32"/>
          <w:szCs w:val="32"/>
          <w:lang w:val="en-US" w:eastAsia="zh-CN" w:bidi="ar"/>
        </w:rPr>
      </w:pPr>
      <w:r>
        <w:rPr>
          <w:rFonts w:hint="eastAsia" w:ascii="楷体" w:hAnsi="楷体" w:eastAsia="楷体" w:cs="楷体"/>
          <w:b w:val="0"/>
          <w:bCs/>
          <w:color w:val="auto"/>
          <w:kern w:val="2"/>
          <w:sz w:val="32"/>
          <w:szCs w:val="32"/>
          <w:lang w:val="en-US" w:eastAsia="zh-CN" w:bidi="ar"/>
        </w:rPr>
        <w:t xml:space="preserve">第二条  </w:t>
      </w:r>
      <w:r>
        <w:rPr>
          <w:rFonts w:hint="eastAsia" w:ascii="仿宋_GB2312" w:hAnsi="仿宋_GB2312" w:eastAsia="仿宋_GB2312" w:cs="仿宋_GB2312"/>
          <w:b w:val="0"/>
          <w:bCs/>
          <w:color w:val="auto"/>
          <w:kern w:val="2"/>
          <w:sz w:val="32"/>
          <w:szCs w:val="32"/>
          <w:lang w:val="en-US" w:eastAsia="zh-CN" w:bidi="ar"/>
        </w:rPr>
        <w:t>本办法所称职业教育专项资金（以下简称“专项资金”），包括中央财政下达的现代职业教育质量提升计划资金、自治区财政下达的高等职业教育、中等职业教育、社区教育老年教育发展专项资金和鄂尔多斯市财政安排的职业教育专项资金。</w:t>
      </w:r>
    </w:p>
    <w:p w14:paraId="5D2446F4">
      <w:pPr>
        <w:pStyle w:val="10"/>
        <w:pageBreakBefore w:val="0"/>
        <w:widowControl/>
        <w:numPr>
          <w:ilvl w:val="0"/>
          <w:numId w:val="0"/>
        </w:numPr>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kern w:val="2"/>
          <w:sz w:val="32"/>
          <w:szCs w:val="32"/>
          <w:lang w:val="en-US" w:eastAsia="zh-CN" w:bidi="ar"/>
        </w:rPr>
      </w:pPr>
      <w:r>
        <w:rPr>
          <w:rFonts w:hint="eastAsia" w:ascii="楷体" w:hAnsi="楷体" w:eastAsia="楷体" w:cs="楷体"/>
          <w:b w:val="0"/>
          <w:bCs/>
          <w:color w:val="auto"/>
          <w:kern w:val="2"/>
          <w:sz w:val="32"/>
          <w:szCs w:val="32"/>
          <w:lang w:val="en-US" w:eastAsia="zh-CN" w:bidi="ar"/>
        </w:rPr>
        <w:t>第三条</w:t>
      </w:r>
      <w:r>
        <w:rPr>
          <w:rFonts w:hint="eastAsia" w:ascii="仿宋" w:hAnsi="仿宋" w:eastAsia="仿宋" w:cs="仿宋"/>
          <w:b w:val="0"/>
          <w:bCs/>
          <w:color w:val="auto"/>
          <w:sz w:val="32"/>
          <w:szCs w:val="32"/>
          <w:lang w:val="en-US" w:eastAsia="zh-CN"/>
        </w:rPr>
        <w:t xml:space="preserve">  </w:t>
      </w:r>
      <w:r>
        <w:rPr>
          <w:rFonts w:hint="eastAsia" w:ascii="仿宋_GB2312" w:hAnsi="仿宋_GB2312" w:eastAsia="仿宋_GB2312" w:cs="仿宋_GB2312"/>
          <w:b w:val="0"/>
          <w:bCs/>
          <w:color w:val="auto"/>
          <w:kern w:val="2"/>
          <w:sz w:val="32"/>
          <w:szCs w:val="32"/>
          <w:lang w:val="en-US" w:eastAsia="zh-CN" w:bidi="ar"/>
        </w:rPr>
        <w:t>专项资金管理遵循“科学规范、权责对等、统筹兼顾、讲求绩效、滚动管理、提前谋划、公开透明、强化监督”的原则。</w:t>
      </w:r>
    </w:p>
    <w:p w14:paraId="57EDEAE1">
      <w:pPr>
        <w:pStyle w:val="10"/>
        <w:pageBreakBefore w:val="0"/>
        <w:widowControl/>
        <w:numPr>
          <w:ilvl w:val="0"/>
          <w:numId w:val="0"/>
        </w:numPr>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kern w:val="2"/>
          <w:sz w:val="32"/>
          <w:szCs w:val="32"/>
          <w:lang w:val="en-US" w:eastAsia="zh-CN" w:bidi="ar"/>
        </w:rPr>
      </w:pPr>
      <w:r>
        <w:rPr>
          <w:rFonts w:hint="eastAsia" w:ascii="楷体" w:hAnsi="楷体" w:eastAsia="楷体" w:cs="楷体"/>
          <w:b w:val="0"/>
          <w:bCs/>
          <w:color w:val="auto"/>
          <w:kern w:val="2"/>
          <w:sz w:val="32"/>
          <w:szCs w:val="32"/>
          <w:lang w:val="en-US" w:eastAsia="zh-CN" w:bidi="ar"/>
        </w:rPr>
        <w:t xml:space="preserve">第四条  </w:t>
      </w:r>
      <w:r>
        <w:rPr>
          <w:rFonts w:hint="eastAsia" w:ascii="仿宋_GB2312" w:hAnsi="仿宋_GB2312" w:eastAsia="仿宋_GB2312" w:cs="仿宋_GB2312"/>
          <w:b w:val="0"/>
          <w:bCs/>
          <w:color w:val="auto"/>
          <w:kern w:val="2"/>
          <w:sz w:val="32"/>
          <w:szCs w:val="32"/>
          <w:lang w:val="en-US" w:eastAsia="zh-CN" w:bidi="ar"/>
        </w:rPr>
        <w:t>各项目承担单位应当坚持厉行节约、反对浪费的原则，健全内部管理制度，确保项目资金安全规范使用。</w:t>
      </w:r>
    </w:p>
    <w:p w14:paraId="6C71B443">
      <w:pPr>
        <w:pStyle w:val="3"/>
        <w:pageBreakBefore w:val="0"/>
        <w:kinsoku/>
        <w:wordWrap/>
        <w:overflowPunct/>
        <w:topLinePunct w:val="0"/>
        <w:autoSpaceDE/>
        <w:autoSpaceDN/>
        <w:bidi w:val="0"/>
        <w:snapToGrid/>
        <w:spacing w:line="560" w:lineRule="exact"/>
        <w:textAlignment w:val="auto"/>
        <w:rPr>
          <w:rFonts w:hint="eastAsia"/>
          <w:b w:val="0"/>
          <w:bCs/>
          <w:color w:val="auto"/>
          <w:lang w:val="en-US" w:eastAsia="zh-CN"/>
        </w:rPr>
      </w:pPr>
      <w:r>
        <w:rPr>
          <w:rFonts w:hint="eastAsia"/>
          <w:b w:val="0"/>
          <w:bCs/>
          <w:color w:val="auto"/>
          <w:lang w:val="en-US" w:eastAsia="zh-CN"/>
        </w:rPr>
        <w:t>第二章 资金使用范围</w:t>
      </w:r>
    </w:p>
    <w:p w14:paraId="679944A8">
      <w:pPr>
        <w:pStyle w:val="10"/>
        <w:pageBreakBefore w:val="0"/>
        <w:widowControl/>
        <w:numPr>
          <w:ilvl w:val="0"/>
          <w:numId w:val="0"/>
        </w:numPr>
        <w:shd w:val="clear" w:color="auto" w:fill="FFFFFF"/>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kern w:val="2"/>
          <w:sz w:val="32"/>
          <w:szCs w:val="32"/>
          <w:lang w:val="en-US" w:eastAsia="zh-CN" w:bidi="ar"/>
        </w:rPr>
      </w:pPr>
      <w:r>
        <w:rPr>
          <w:rFonts w:hint="eastAsia" w:ascii="楷体" w:hAnsi="楷体" w:eastAsia="楷体" w:cs="楷体"/>
          <w:b w:val="0"/>
          <w:bCs/>
          <w:color w:val="auto"/>
          <w:kern w:val="2"/>
          <w:sz w:val="32"/>
          <w:szCs w:val="32"/>
          <w:lang w:val="en-US" w:eastAsia="zh-CN" w:bidi="ar"/>
        </w:rPr>
        <w:t xml:space="preserve">第五条  </w:t>
      </w:r>
      <w:r>
        <w:rPr>
          <w:rFonts w:hint="eastAsia" w:ascii="仿宋_GB2312" w:hAnsi="仿宋_GB2312" w:eastAsia="仿宋_GB2312" w:cs="仿宋_GB2312"/>
          <w:b w:val="0"/>
          <w:bCs/>
          <w:color w:val="auto"/>
          <w:kern w:val="2"/>
          <w:sz w:val="32"/>
          <w:szCs w:val="32"/>
          <w:lang w:val="en-US" w:eastAsia="zh-CN" w:bidi="ar"/>
        </w:rPr>
        <w:t>专项资金用于支持增强职业教育适应性，推进职业教育改革发展，加快构建现代职业教育体系，具体支持项目由市教育体育局根据国家和自治区职业教育、社区教育老年教育改革发展相关政策及《鄂尔多斯市职业教育改革发展实施方案》确定。现阶段重点支持：</w:t>
      </w:r>
    </w:p>
    <w:p w14:paraId="2186B87D">
      <w:pPr>
        <w:pStyle w:val="10"/>
        <w:pageBreakBefore w:val="0"/>
        <w:widowControl/>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楷体" w:hAnsi="楷体" w:eastAsia="楷体" w:cs="楷体"/>
          <w:b w:val="0"/>
          <w:bCs/>
          <w:color w:val="auto"/>
          <w:sz w:val="32"/>
          <w:szCs w:val="32"/>
        </w:rPr>
        <w:t>（一）</w:t>
      </w:r>
      <w:r>
        <w:rPr>
          <w:rFonts w:hint="eastAsia" w:ascii="楷体" w:hAnsi="楷体" w:eastAsia="楷体" w:cs="楷体"/>
          <w:b w:val="0"/>
          <w:bCs/>
          <w:color w:val="auto"/>
          <w:sz w:val="32"/>
          <w:szCs w:val="32"/>
          <w:lang w:val="en-US" w:eastAsia="zh-CN"/>
        </w:rPr>
        <w:t>高等教育内涵发展。</w:t>
      </w:r>
      <w:r>
        <w:rPr>
          <w:rFonts w:hint="eastAsia" w:ascii="仿宋_GB2312" w:hAnsi="仿宋_GB2312" w:eastAsia="仿宋_GB2312" w:cs="仿宋_GB2312"/>
          <w:b w:val="0"/>
          <w:bCs/>
          <w:color w:val="auto"/>
          <w:sz w:val="32"/>
          <w:szCs w:val="32"/>
          <w:lang w:val="en-US" w:eastAsia="zh-CN"/>
        </w:rPr>
        <w:t>重点支持学科专业建设、师资队伍建设、产教融合项目、承办重大活动、奖励激励以及</w:t>
      </w:r>
      <w:r>
        <w:rPr>
          <w:rFonts w:hint="eastAsia" w:ascii="仿宋_GB2312" w:hAnsi="仿宋_GB2312" w:eastAsia="仿宋_GB2312" w:cs="仿宋_GB2312"/>
          <w:b w:val="0"/>
          <w:bCs/>
          <w:color w:val="auto"/>
          <w:sz w:val="32"/>
          <w:szCs w:val="32"/>
        </w:rPr>
        <w:t>落实上级专项工作</w:t>
      </w:r>
      <w:r>
        <w:rPr>
          <w:rFonts w:hint="eastAsia" w:ascii="仿宋_GB2312" w:hAnsi="仿宋_GB2312" w:eastAsia="仿宋_GB2312" w:cs="仿宋_GB2312"/>
          <w:b w:val="0"/>
          <w:bCs/>
          <w:color w:val="auto"/>
          <w:sz w:val="32"/>
          <w:szCs w:val="32"/>
          <w:lang w:val="en-US" w:eastAsia="zh-CN"/>
        </w:rPr>
        <w:t>和其他改革重点任务等。</w:t>
      </w:r>
    </w:p>
    <w:p w14:paraId="6EA80A84">
      <w:pPr>
        <w:pStyle w:val="10"/>
        <w:pageBreakBefore w:val="0"/>
        <w:widowControl/>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sz w:val="32"/>
          <w:szCs w:val="32"/>
        </w:rPr>
      </w:pPr>
      <w:r>
        <w:rPr>
          <w:rFonts w:hint="eastAsia" w:ascii="楷体" w:hAnsi="楷体" w:eastAsia="楷体" w:cs="楷体"/>
          <w:b w:val="0"/>
          <w:bCs/>
          <w:color w:val="auto"/>
          <w:sz w:val="32"/>
          <w:szCs w:val="32"/>
          <w:lang w:val="en-US" w:eastAsia="zh-CN"/>
        </w:rPr>
        <w:t>（二）中高等职业教育提质培优。</w:t>
      </w:r>
      <w:r>
        <w:rPr>
          <w:rFonts w:hint="eastAsia" w:ascii="仿宋_GB2312" w:hAnsi="仿宋_GB2312" w:eastAsia="仿宋_GB2312" w:cs="仿宋_GB2312"/>
          <w:b w:val="0"/>
          <w:bCs/>
          <w:color w:val="auto"/>
          <w:sz w:val="32"/>
          <w:szCs w:val="32"/>
        </w:rPr>
        <w:t>落实</w:t>
      </w:r>
      <w:r>
        <w:rPr>
          <w:rFonts w:hint="eastAsia" w:ascii="仿宋_GB2312" w:hAnsi="仿宋_GB2312" w:eastAsia="仿宋_GB2312" w:cs="仿宋_GB2312"/>
          <w:b w:val="0"/>
          <w:bCs/>
          <w:color w:val="auto"/>
          <w:sz w:val="32"/>
          <w:szCs w:val="32"/>
          <w:lang w:val="en-US" w:eastAsia="zh-CN"/>
        </w:rPr>
        <w:t>市直</w:t>
      </w:r>
      <w:r>
        <w:rPr>
          <w:rFonts w:hint="eastAsia" w:ascii="仿宋_GB2312" w:hAnsi="仿宋_GB2312" w:eastAsia="仿宋_GB2312" w:cs="仿宋_GB2312"/>
          <w:b w:val="0"/>
          <w:bCs/>
          <w:color w:val="auto"/>
          <w:sz w:val="32"/>
          <w:szCs w:val="32"/>
        </w:rPr>
        <w:t>中等职业学校</w:t>
      </w:r>
      <w:r>
        <w:rPr>
          <w:rFonts w:hint="eastAsia" w:ascii="仿宋_GB2312" w:hAnsi="仿宋_GB2312" w:eastAsia="仿宋_GB2312" w:cs="仿宋_GB2312"/>
          <w:b w:val="0"/>
          <w:bCs/>
          <w:strike w:val="0"/>
          <w:dstrike w:val="0"/>
          <w:color w:val="auto"/>
          <w:sz w:val="32"/>
          <w:szCs w:val="32"/>
          <w:lang w:eastAsia="zh-CN"/>
        </w:rPr>
        <w:t>生均拨款</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支持办学条件达标建设和教学质量提升活动；推动产教融合、校企合作相关项目；推行“学历证书+若干职业技能等级证书”制度；开展“双高</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lang w:val="en-US" w:eastAsia="zh-CN"/>
        </w:rPr>
        <w:t>双优”</w:t>
      </w:r>
      <w:r>
        <w:rPr>
          <w:rFonts w:hint="eastAsia" w:ascii="仿宋_GB2312" w:hAnsi="仿宋_GB2312" w:eastAsia="仿宋_GB2312" w:cs="仿宋_GB2312"/>
          <w:b w:val="0"/>
          <w:bCs/>
          <w:color w:val="auto"/>
          <w:sz w:val="32"/>
          <w:szCs w:val="32"/>
        </w:rPr>
        <w:t>计划、“五金”建设；支持职业教育各类培训培养基地项目；支持</w:t>
      </w:r>
      <w:r>
        <w:rPr>
          <w:rFonts w:hint="eastAsia" w:ascii="仿宋_GB2312" w:hAnsi="仿宋_GB2312" w:eastAsia="仿宋_GB2312" w:cs="仿宋_GB2312"/>
          <w:b w:val="0"/>
          <w:bCs/>
          <w:color w:val="auto"/>
          <w:sz w:val="32"/>
          <w:szCs w:val="32"/>
          <w:lang w:val="en-US" w:eastAsia="zh-CN"/>
        </w:rPr>
        <w:t>承办和参与</w:t>
      </w:r>
      <w:r>
        <w:rPr>
          <w:rFonts w:hint="eastAsia" w:ascii="仿宋_GB2312" w:hAnsi="仿宋_GB2312" w:eastAsia="仿宋_GB2312" w:cs="仿宋_GB2312"/>
          <w:b w:val="0"/>
          <w:bCs/>
          <w:color w:val="auto"/>
          <w:sz w:val="32"/>
          <w:szCs w:val="32"/>
        </w:rPr>
        <w:t>各项竞赛活动、奖励激励、特色项目、教学资源开发建设；落实上级专项工作</w:t>
      </w:r>
      <w:r>
        <w:rPr>
          <w:rFonts w:hint="eastAsia" w:ascii="仿宋_GB2312" w:hAnsi="仿宋_GB2312" w:eastAsia="仿宋_GB2312" w:cs="仿宋_GB2312"/>
          <w:b w:val="0"/>
          <w:bCs/>
          <w:color w:val="auto"/>
          <w:sz w:val="32"/>
          <w:szCs w:val="32"/>
          <w:lang w:val="en-US" w:eastAsia="zh-CN"/>
        </w:rPr>
        <w:t>及</w:t>
      </w:r>
      <w:r>
        <w:rPr>
          <w:rFonts w:hint="eastAsia" w:ascii="仿宋_GB2312" w:hAnsi="仿宋_GB2312" w:eastAsia="仿宋_GB2312" w:cs="仿宋_GB2312"/>
          <w:b w:val="0"/>
          <w:bCs/>
          <w:color w:val="auto"/>
          <w:sz w:val="32"/>
          <w:szCs w:val="32"/>
        </w:rPr>
        <w:t>推进现代职业教育体系建设改革重点任务</w:t>
      </w:r>
      <w:r>
        <w:rPr>
          <w:rFonts w:hint="eastAsia" w:ascii="仿宋_GB2312" w:hAnsi="仿宋_GB2312" w:eastAsia="仿宋_GB2312" w:cs="仿宋_GB2312"/>
          <w:b w:val="0"/>
          <w:bCs/>
          <w:color w:val="auto"/>
          <w:sz w:val="32"/>
          <w:szCs w:val="32"/>
          <w:lang w:val="en-US" w:eastAsia="zh-CN"/>
        </w:rPr>
        <w:t>等。</w:t>
      </w:r>
    </w:p>
    <w:p w14:paraId="7E462B38">
      <w:pPr>
        <w:pStyle w:val="10"/>
        <w:pageBreakBefore w:val="0"/>
        <w:widowControl/>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sz w:val="32"/>
          <w:szCs w:val="32"/>
        </w:rPr>
      </w:pPr>
      <w:r>
        <w:rPr>
          <w:rFonts w:hint="eastAsia" w:ascii="楷体" w:hAnsi="楷体" w:eastAsia="楷体" w:cs="楷体"/>
          <w:b w:val="0"/>
          <w:bCs/>
          <w:color w:val="auto"/>
          <w:sz w:val="32"/>
          <w:szCs w:val="32"/>
          <w:lang w:val="en-US" w:eastAsia="zh-CN"/>
        </w:rPr>
        <w:t>（三）社区教育老年教育发展。</w:t>
      </w:r>
      <w:r>
        <w:rPr>
          <w:rFonts w:hint="eastAsia" w:ascii="仿宋_GB2312" w:hAnsi="仿宋_GB2312" w:eastAsia="仿宋_GB2312" w:cs="仿宋_GB2312"/>
          <w:b w:val="0"/>
          <w:bCs/>
          <w:color w:val="auto"/>
          <w:sz w:val="32"/>
          <w:szCs w:val="32"/>
        </w:rPr>
        <w:t>支持国家级职业教育与成人教育示范县、国家和自治区社区教育示范区建设；职业院校老年教育社区教育教学点试点建设；示范性老年教育体验基地建设；养老服务相关专业建设；</w:t>
      </w:r>
      <w:r>
        <w:rPr>
          <w:rFonts w:hint="eastAsia" w:ascii="仿宋_GB2312" w:hAnsi="仿宋_GB2312" w:eastAsia="仿宋_GB2312" w:cs="仿宋_GB2312"/>
          <w:b w:val="0"/>
          <w:bCs/>
          <w:color w:val="auto"/>
          <w:sz w:val="32"/>
          <w:szCs w:val="32"/>
          <w:lang w:val="en-US" w:eastAsia="zh-CN"/>
        </w:rPr>
        <w:t>支持</w:t>
      </w:r>
      <w:r>
        <w:rPr>
          <w:rFonts w:hint="eastAsia" w:ascii="仿宋_GB2312" w:hAnsi="仿宋_GB2312" w:eastAsia="仿宋_GB2312" w:cs="仿宋_GB2312"/>
          <w:b w:val="0"/>
          <w:bCs/>
          <w:color w:val="auto"/>
          <w:sz w:val="32"/>
          <w:szCs w:val="32"/>
        </w:rPr>
        <w:t>终身教育</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lang w:val="en-US" w:eastAsia="zh-CN"/>
        </w:rPr>
        <w:t>社区教育、老年教育发展</w:t>
      </w:r>
      <w:r>
        <w:rPr>
          <w:rFonts w:hint="eastAsia" w:ascii="仿宋_GB2312" w:hAnsi="仿宋_GB2312" w:eastAsia="仿宋_GB2312" w:cs="仿宋_GB2312"/>
          <w:b w:val="0"/>
          <w:bCs/>
          <w:color w:val="auto"/>
          <w:sz w:val="32"/>
          <w:szCs w:val="32"/>
        </w:rPr>
        <w:t>；开展学习型城市建设</w:t>
      </w:r>
      <w:r>
        <w:rPr>
          <w:rFonts w:hint="eastAsia" w:ascii="仿宋_GB2312" w:hAnsi="仿宋_GB2312" w:eastAsia="仿宋_GB2312" w:cs="仿宋_GB2312"/>
          <w:b w:val="0"/>
          <w:bCs/>
          <w:color w:val="auto"/>
          <w:sz w:val="32"/>
          <w:szCs w:val="32"/>
          <w:lang w:val="en-US" w:eastAsia="zh-CN"/>
        </w:rPr>
        <w:t>等</w:t>
      </w:r>
      <w:r>
        <w:rPr>
          <w:rFonts w:hint="eastAsia" w:ascii="仿宋_GB2312" w:hAnsi="仿宋_GB2312" w:eastAsia="仿宋_GB2312" w:cs="仿宋_GB2312"/>
          <w:b w:val="0"/>
          <w:bCs/>
          <w:color w:val="auto"/>
          <w:sz w:val="32"/>
          <w:szCs w:val="32"/>
        </w:rPr>
        <w:t>。</w:t>
      </w:r>
    </w:p>
    <w:p w14:paraId="1D2D918B">
      <w:pPr>
        <w:pStyle w:val="10"/>
        <w:pageBreakBefore w:val="0"/>
        <w:widowControl/>
        <w:numPr>
          <w:ilvl w:val="0"/>
          <w:numId w:val="0"/>
        </w:numPr>
        <w:shd w:val="clear" w:color="auto" w:fill="FFFFFF"/>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kern w:val="2"/>
          <w:sz w:val="32"/>
          <w:szCs w:val="32"/>
          <w:lang w:val="en-US" w:eastAsia="zh-CN" w:bidi="ar"/>
        </w:rPr>
      </w:pPr>
      <w:r>
        <w:rPr>
          <w:rFonts w:hint="eastAsia" w:ascii="楷体" w:hAnsi="楷体" w:eastAsia="楷体" w:cs="楷体"/>
          <w:b w:val="0"/>
          <w:bCs/>
          <w:color w:val="auto"/>
          <w:kern w:val="2"/>
          <w:sz w:val="32"/>
          <w:szCs w:val="32"/>
          <w:lang w:val="en-US" w:eastAsia="zh-CN" w:bidi="ar"/>
        </w:rPr>
        <w:t>第六条</w:t>
      </w:r>
      <w:r>
        <w:rPr>
          <w:rFonts w:hint="eastAsia" w:ascii="仿宋" w:hAnsi="仿宋" w:eastAsia="仿宋" w:cs="仿宋"/>
          <w:b w:val="0"/>
          <w:bCs/>
          <w:color w:val="auto"/>
          <w:sz w:val="32"/>
          <w:szCs w:val="32"/>
          <w:lang w:val="en-US" w:eastAsia="zh-CN"/>
        </w:rPr>
        <w:t xml:space="preserve">  </w:t>
      </w:r>
      <w:r>
        <w:rPr>
          <w:rFonts w:hint="eastAsia" w:ascii="仿宋_GB2312" w:hAnsi="仿宋_GB2312" w:eastAsia="仿宋_GB2312" w:cs="仿宋_GB2312"/>
          <w:b w:val="0"/>
          <w:bCs/>
          <w:color w:val="auto"/>
          <w:kern w:val="2"/>
          <w:sz w:val="32"/>
          <w:szCs w:val="32"/>
          <w:lang w:val="en-US" w:eastAsia="zh-CN" w:bidi="ar"/>
        </w:rPr>
        <w:t>专项资金严格按照规定用途使用，不得用于偿还债务、支付利息、对外投资等支出，不得用于按照国家、自治区和市级规定不得开支的其他支出。</w:t>
      </w:r>
    </w:p>
    <w:p w14:paraId="12C1DCC3">
      <w:pPr>
        <w:pStyle w:val="3"/>
        <w:pageBreakBefore w:val="0"/>
        <w:kinsoku/>
        <w:wordWrap/>
        <w:overflowPunct/>
        <w:topLinePunct w:val="0"/>
        <w:autoSpaceDE/>
        <w:autoSpaceDN/>
        <w:bidi w:val="0"/>
        <w:snapToGrid/>
        <w:spacing w:line="560" w:lineRule="exact"/>
        <w:textAlignment w:val="auto"/>
        <w:rPr>
          <w:rFonts w:hint="eastAsia"/>
          <w:b w:val="0"/>
          <w:bCs/>
          <w:color w:val="auto"/>
          <w:lang w:val="en-US" w:eastAsia="zh-CN"/>
        </w:rPr>
      </w:pPr>
      <w:r>
        <w:rPr>
          <w:rFonts w:hint="eastAsia"/>
          <w:b w:val="0"/>
          <w:bCs/>
          <w:color w:val="auto"/>
          <w:lang w:val="en-US" w:eastAsia="zh-CN"/>
        </w:rPr>
        <w:t>第三章 资金管理职责</w:t>
      </w:r>
    </w:p>
    <w:p w14:paraId="54E53B1E">
      <w:pPr>
        <w:pStyle w:val="10"/>
        <w:pageBreakBefore w:val="0"/>
        <w:widowControl/>
        <w:numPr>
          <w:ilvl w:val="0"/>
          <w:numId w:val="0"/>
        </w:numPr>
        <w:shd w:val="clear" w:color="auto" w:fill="FFFFFF"/>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kern w:val="2"/>
          <w:sz w:val="32"/>
          <w:szCs w:val="32"/>
          <w:lang w:val="en-US" w:eastAsia="zh-CN" w:bidi="ar"/>
        </w:rPr>
      </w:pPr>
      <w:r>
        <w:rPr>
          <w:rFonts w:hint="eastAsia" w:ascii="楷体" w:hAnsi="楷体" w:eastAsia="楷体" w:cs="楷体"/>
          <w:b w:val="0"/>
          <w:bCs/>
          <w:color w:val="auto"/>
          <w:kern w:val="2"/>
          <w:sz w:val="32"/>
          <w:szCs w:val="32"/>
          <w:lang w:val="en-US" w:eastAsia="zh-CN" w:bidi="ar"/>
        </w:rPr>
        <w:t>第七条</w:t>
      </w:r>
      <w:r>
        <w:rPr>
          <w:rFonts w:hint="eastAsia" w:ascii="仿宋" w:hAnsi="仿宋" w:eastAsia="仿宋" w:cs="仿宋"/>
          <w:b w:val="0"/>
          <w:bCs/>
          <w:color w:val="auto"/>
          <w:sz w:val="32"/>
          <w:szCs w:val="32"/>
          <w:lang w:val="en-US" w:eastAsia="zh-CN"/>
        </w:rPr>
        <w:t xml:space="preserve">  </w:t>
      </w:r>
      <w:r>
        <w:rPr>
          <w:rFonts w:hint="eastAsia" w:ascii="仿宋_GB2312" w:hAnsi="仿宋_GB2312" w:eastAsia="仿宋_GB2312" w:cs="仿宋_GB2312"/>
          <w:b w:val="0"/>
          <w:bCs/>
          <w:color w:val="auto"/>
          <w:kern w:val="2"/>
          <w:sz w:val="32"/>
          <w:szCs w:val="32"/>
          <w:lang w:val="en-US" w:eastAsia="zh-CN" w:bidi="ar"/>
        </w:rPr>
        <w:t>市财政局负责专项资金设立、调整和撤销的审核工作；组织专项资金预算</w:t>
      </w:r>
      <w:r>
        <w:rPr>
          <w:rFonts w:hint="eastAsia" w:ascii="仿宋_GB2312" w:hAnsi="仿宋_GB2312" w:eastAsia="仿宋_GB2312" w:cs="仿宋_GB2312"/>
          <w:b w:val="0"/>
          <w:bCs/>
          <w:strike w:val="0"/>
          <w:dstrike w:val="0"/>
          <w:color w:val="auto"/>
          <w:kern w:val="2"/>
          <w:sz w:val="32"/>
          <w:szCs w:val="32"/>
          <w:lang w:val="en-US" w:eastAsia="zh-CN" w:bidi="ar"/>
        </w:rPr>
        <w:t>安排</w:t>
      </w:r>
      <w:r>
        <w:rPr>
          <w:rFonts w:hint="eastAsia" w:ascii="仿宋_GB2312" w:hAnsi="仿宋_GB2312" w:eastAsia="仿宋_GB2312" w:cs="仿宋_GB2312"/>
          <w:b w:val="0"/>
          <w:bCs/>
          <w:color w:val="auto"/>
          <w:kern w:val="2"/>
          <w:sz w:val="32"/>
          <w:szCs w:val="32"/>
          <w:lang w:val="en-US" w:eastAsia="zh-CN" w:bidi="ar"/>
        </w:rPr>
        <w:t>和审核；按规定办理专项资金拨付和下达；适时组织开展专项资金绩效管理和财会监督的相关工作。</w:t>
      </w:r>
    </w:p>
    <w:p w14:paraId="2BD808E7">
      <w:pPr>
        <w:pStyle w:val="10"/>
        <w:pageBreakBefore w:val="0"/>
        <w:widowControl/>
        <w:numPr>
          <w:ilvl w:val="0"/>
          <w:numId w:val="0"/>
        </w:numPr>
        <w:shd w:val="clear" w:color="auto" w:fill="FFFFFF"/>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kern w:val="2"/>
          <w:sz w:val="32"/>
          <w:szCs w:val="32"/>
          <w:lang w:val="en-US" w:eastAsia="zh-CN" w:bidi="ar"/>
        </w:rPr>
      </w:pPr>
      <w:r>
        <w:rPr>
          <w:rFonts w:hint="eastAsia" w:ascii="楷体" w:hAnsi="楷体" w:eastAsia="楷体" w:cs="楷体"/>
          <w:b w:val="0"/>
          <w:bCs/>
          <w:color w:val="auto"/>
          <w:kern w:val="2"/>
          <w:sz w:val="32"/>
          <w:szCs w:val="32"/>
          <w:lang w:val="en-US" w:eastAsia="zh-CN" w:bidi="ar"/>
        </w:rPr>
        <w:t>第八条</w:t>
      </w:r>
      <w:r>
        <w:rPr>
          <w:rFonts w:hint="eastAsia" w:ascii="仿宋" w:hAnsi="仿宋" w:eastAsia="仿宋" w:cs="仿宋"/>
          <w:b w:val="0"/>
          <w:bCs/>
          <w:color w:val="auto"/>
          <w:sz w:val="32"/>
          <w:szCs w:val="32"/>
          <w:lang w:val="en-US" w:eastAsia="zh-CN"/>
        </w:rPr>
        <w:t xml:space="preserve">  </w:t>
      </w:r>
      <w:r>
        <w:rPr>
          <w:rFonts w:hint="eastAsia" w:ascii="仿宋_GB2312" w:hAnsi="仿宋_GB2312" w:eastAsia="仿宋_GB2312" w:cs="仿宋_GB2312"/>
          <w:b w:val="0"/>
          <w:bCs/>
          <w:color w:val="auto"/>
          <w:kern w:val="2"/>
          <w:sz w:val="32"/>
          <w:szCs w:val="32"/>
          <w:lang w:val="en-US" w:eastAsia="zh-CN" w:bidi="ar"/>
        </w:rPr>
        <w:t>市教育体育局负责本部门职业教育专项资金的预算编制和执行；对专项资金使用及项目实施承担指导和监管责任；申报资金预算、发布项目申报指南、审核项目、制定资金分配方案；配合市财政局做好资金使用情况财会监督和绩效评价工作。</w:t>
      </w:r>
    </w:p>
    <w:p w14:paraId="17829A14">
      <w:pPr>
        <w:pStyle w:val="10"/>
        <w:pageBreakBefore w:val="0"/>
        <w:widowControl/>
        <w:numPr>
          <w:ilvl w:val="0"/>
          <w:numId w:val="0"/>
        </w:numPr>
        <w:shd w:val="clear" w:color="auto" w:fill="FFFFFF"/>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kern w:val="2"/>
          <w:sz w:val="32"/>
          <w:szCs w:val="32"/>
          <w:lang w:val="en-US" w:eastAsia="zh-CN" w:bidi="ar"/>
        </w:rPr>
      </w:pPr>
      <w:r>
        <w:rPr>
          <w:rFonts w:hint="eastAsia" w:ascii="楷体" w:hAnsi="楷体" w:eastAsia="楷体" w:cs="楷体"/>
          <w:b w:val="0"/>
          <w:bCs/>
          <w:color w:val="auto"/>
          <w:kern w:val="2"/>
          <w:sz w:val="32"/>
          <w:szCs w:val="32"/>
          <w:lang w:val="en-US" w:eastAsia="zh-CN" w:bidi="ar"/>
        </w:rPr>
        <w:t xml:space="preserve">第九条  </w:t>
      </w:r>
      <w:r>
        <w:rPr>
          <w:rFonts w:hint="eastAsia" w:ascii="仿宋_GB2312" w:hAnsi="仿宋_GB2312" w:eastAsia="仿宋_GB2312" w:cs="仿宋_GB2312"/>
          <w:b w:val="0"/>
          <w:bCs/>
          <w:color w:val="auto"/>
          <w:kern w:val="2"/>
          <w:sz w:val="32"/>
          <w:szCs w:val="32"/>
          <w:lang w:val="en-US" w:eastAsia="zh-CN" w:bidi="ar"/>
        </w:rPr>
        <w:t>旗区教体、财政部门承担本辖区范围内专项资金管理主体责任，加强资金预算管理和日常监管，规范财务制度，确保资金使用安全、规范和高效。</w:t>
      </w:r>
    </w:p>
    <w:p w14:paraId="0CFBD09C">
      <w:pPr>
        <w:pStyle w:val="10"/>
        <w:pageBreakBefore w:val="0"/>
        <w:widowControl/>
        <w:numPr>
          <w:ilvl w:val="0"/>
          <w:numId w:val="0"/>
        </w:numPr>
        <w:shd w:val="clear" w:color="auto" w:fill="FFFFFF"/>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ascii="仿宋" w:hAnsi="仿宋" w:eastAsia="仿宋" w:cs="仿宋"/>
          <w:b w:val="0"/>
          <w:bCs/>
          <w:color w:val="auto"/>
          <w:sz w:val="32"/>
          <w:szCs w:val="32"/>
        </w:rPr>
      </w:pPr>
      <w:r>
        <w:rPr>
          <w:rFonts w:hint="eastAsia" w:ascii="楷体" w:hAnsi="楷体" w:eastAsia="楷体" w:cs="楷体"/>
          <w:b w:val="0"/>
          <w:bCs/>
          <w:color w:val="auto"/>
          <w:kern w:val="2"/>
          <w:sz w:val="32"/>
          <w:szCs w:val="32"/>
          <w:lang w:val="en-US" w:eastAsia="zh-CN" w:bidi="ar"/>
        </w:rPr>
        <w:t xml:space="preserve">第十条  </w:t>
      </w:r>
      <w:r>
        <w:rPr>
          <w:rFonts w:hint="eastAsia" w:ascii="仿宋_GB2312" w:hAnsi="仿宋_GB2312" w:eastAsia="仿宋_GB2312" w:cs="仿宋_GB2312"/>
          <w:b w:val="0"/>
          <w:bCs/>
          <w:color w:val="auto"/>
          <w:kern w:val="2"/>
          <w:sz w:val="32"/>
          <w:szCs w:val="32"/>
          <w:lang w:val="en-US" w:eastAsia="zh-CN" w:bidi="ar"/>
        </w:rPr>
        <w:t>项目承担单位承担本单位专项资金使用和管理主体责任，按照资金管理办法规定的范围及时使用专项资金，加强财务管理，积极配合专项资金的审计。</w:t>
      </w:r>
    </w:p>
    <w:p w14:paraId="7138984D">
      <w:pPr>
        <w:pStyle w:val="3"/>
        <w:pageBreakBefore w:val="0"/>
        <w:kinsoku/>
        <w:wordWrap/>
        <w:overflowPunct/>
        <w:topLinePunct w:val="0"/>
        <w:autoSpaceDE/>
        <w:autoSpaceDN/>
        <w:bidi w:val="0"/>
        <w:snapToGrid/>
        <w:spacing w:line="560" w:lineRule="exact"/>
        <w:textAlignment w:val="auto"/>
        <w:rPr>
          <w:b w:val="0"/>
          <w:bCs/>
          <w:color w:val="auto"/>
        </w:rPr>
      </w:pPr>
      <w:r>
        <w:rPr>
          <w:rFonts w:hint="eastAsia"/>
          <w:b w:val="0"/>
          <w:bCs/>
          <w:color w:val="auto"/>
          <w:lang w:val="en-US" w:eastAsia="zh-CN"/>
        </w:rPr>
        <w:t>第四章 资金申报、分配和下达</w:t>
      </w:r>
    </w:p>
    <w:p w14:paraId="3063F450">
      <w:pPr>
        <w:pStyle w:val="10"/>
        <w:pageBreakBefore w:val="0"/>
        <w:widowControl/>
        <w:numPr>
          <w:ilvl w:val="0"/>
          <w:numId w:val="0"/>
        </w:numPr>
        <w:shd w:val="clear" w:color="auto" w:fill="FFFFFF"/>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kern w:val="2"/>
          <w:sz w:val="32"/>
          <w:szCs w:val="32"/>
          <w:lang w:val="en-US" w:eastAsia="zh-CN" w:bidi="ar"/>
        </w:rPr>
      </w:pPr>
      <w:r>
        <w:rPr>
          <w:rFonts w:hint="eastAsia" w:ascii="楷体" w:hAnsi="楷体" w:eastAsia="楷体" w:cs="楷体"/>
          <w:b w:val="0"/>
          <w:bCs/>
          <w:color w:val="auto"/>
          <w:kern w:val="2"/>
          <w:sz w:val="32"/>
          <w:szCs w:val="32"/>
          <w:lang w:val="en-US" w:eastAsia="zh-CN" w:bidi="ar"/>
        </w:rPr>
        <w:t>第十一条</w:t>
      </w:r>
      <w:r>
        <w:rPr>
          <w:rFonts w:hint="eastAsia" w:ascii="仿宋" w:hAnsi="仿宋" w:eastAsia="仿宋" w:cs="仿宋"/>
          <w:b w:val="0"/>
          <w:bCs/>
          <w:color w:val="auto"/>
          <w:sz w:val="32"/>
          <w:szCs w:val="32"/>
          <w:lang w:val="en-US" w:eastAsia="zh-CN"/>
        </w:rPr>
        <w:t xml:space="preserve">  </w:t>
      </w:r>
      <w:r>
        <w:rPr>
          <w:rFonts w:hint="eastAsia" w:ascii="仿宋_GB2312" w:hAnsi="仿宋_GB2312" w:eastAsia="仿宋_GB2312" w:cs="仿宋_GB2312"/>
          <w:b w:val="0"/>
          <w:bCs/>
          <w:color w:val="auto"/>
          <w:kern w:val="2"/>
          <w:sz w:val="32"/>
          <w:szCs w:val="32"/>
          <w:lang w:val="en-US" w:eastAsia="zh-CN" w:bidi="ar"/>
        </w:rPr>
        <w:t>专项资金实行项目库管理，采取因素法进行分配。项目库是专项资金预算编制的依据，未按本办法纳入项目库的项目，原则上不得给予资金支持。</w:t>
      </w:r>
    </w:p>
    <w:p w14:paraId="61526E2D">
      <w:pPr>
        <w:pStyle w:val="10"/>
        <w:pageBreakBefore w:val="0"/>
        <w:widowControl/>
        <w:numPr>
          <w:ilvl w:val="0"/>
          <w:numId w:val="0"/>
        </w:numPr>
        <w:shd w:val="clear" w:color="auto" w:fill="FFFFFF"/>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kern w:val="2"/>
          <w:sz w:val="32"/>
          <w:szCs w:val="32"/>
          <w:lang w:val="en-US" w:eastAsia="zh-CN" w:bidi="ar"/>
        </w:rPr>
      </w:pPr>
      <w:r>
        <w:rPr>
          <w:rFonts w:hint="eastAsia" w:ascii="楷体" w:hAnsi="楷体" w:eastAsia="楷体" w:cs="楷体"/>
          <w:b w:val="0"/>
          <w:bCs/>
          <w:color w:val="auto"/>
          <w:kern w:val="2"/>
          <w:sz w:val="32"/>
          <w:szCs w:val="32"/>
          <w:lang w:val="en-US" w:eastAsia="zh-CN" w:bidi="ar"/>
        </w:rPr>
        <w:t>第十二条</w:t>
      </w:r>
      <w:r>
        <w:rPr>
          <w:rFonts w:hint="eastAsia" w:ascii="仿宋" w:hAnsi="仿宋" w:eastAsia="仿宋" w:cs="仿宋"/>
          <w:b w:val="0"/>
          <w:bCs/>
          <w:color w:val="auto"/>
          <w:sz w:val="32"/>
          <w:szCs w:val="32"/>
          <w:lang w:val="en-US" w:eastAsia="zh-CN"/>
        </w:rPr>
        <w:t xml:space="preserve">  </w:t>
      </w:r>
      <w:r>
        <w:rPr>
          <w:rFonts w:hint="eastAsia" w:ascii="仿宋_GB2312" w:hAnsi="仿宋_GB2312" w:eastAsia="仿宋_GB2312" w:cs="仿宋_GB2312"/>
          <w:b w:val="0"/>
          <w:bCs/>
          <w:color w:val="auto"/>
          <w:kern w:val="2"/>
          <w:sz w:val="32"/>
          <w:szCs w:val="32"/>
          <w:lang w:val="en-US" w:eastAsia="zh-CN" w:bidi="ar"/>
        </w:rPr>
        <w:t>因素包括生均奖补因素（权重45%）和项目因素（权重55%）。</w:t>
      </w:r>
    </w:p>
    <w:p w14:paraId="7AEC7F6A">
      <w:pPr>
        <w:pStyle w:val="10"/>
        <w:pageBreakBefore w:val="0"/>
        <w:widowControl/>
        <w:numPr>
          <w:ilvl w:val="0"/>
          <w:numId w:val="0"/>
        </w:numPr>
        <w:shd w:val="clear" w:color="auto" w:fill="FFFFFF"/>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kern w:val="2"/>
          <w:sz w:val="32"/>
          <w:szCs w:val="32"/>
          <w:lang w:val="en-US" w:eastAsia="zh-CN" w:bidi="ar"/>
        </w:rPr>
      </w:pPr>
      <w:r>
        <w:rPr>
          <w:rFonts w:hint="eastAsia" w:ascii="仿宋_GB2312" w:hAnsi="仿宋_GB2312" w:eastAsia="仿宋_GB2312" w:cs="仿宋_GB2312"/>
          <w:b w:val="0"/>
          <w:bCs/>
          <w:color w:val="auto"/>
          <w:kern w:val="2"/>
          <w:sz w:val="32"/>
          <w:szCs w:val="32"/>
          <w:lang w:val="en-US" w:eastAsia="zh-CN" w:bidi="ar"/>
        </w:rPr>
        <w:t>生均奖补因素包括：基础因素、绩效因素和其他因素。其中，基础因素主要考虑学校数、在校学生数、改革试点项目参与人数、改革项目实施数量、办学水平和质量等；绩效因素主要考虑各地政策出台及落实情况、材料申报情况、年度预算执行情况和获得奖励、荣誉及取得成果情况、重点工作任务完成情况、职业教育、高等教育各项政策落实情况等；其他因素主要考虑落实党中央国务院、自治区党委政府、市委市政府相关决策部署和重点工作任务等。</w:t>
      </w:r>
    </w:p>
    <w:p w14:paraId="2BF7B57A">
      <w:pPr>
        <w:pStyle w:val="10"/>
        <w:pageBreakBefore w:val="0"/>
        <w:widowControl/>
        <w:numPr>
          <w:ilvl w:val="0"/>
          <w:numId w:val="0"/>
        </w:numPr>
        <w:shd w:val="clear" w:color="auto" w:fill="FFFFFF"/>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kern w:val="2"/>
          <w:sz w:val="32"/>
          <w:szCs w:val="32"/>
          <w:lang w:val="en-US" w:eastAsia="zh-CN" w:bidi="ar"/>
        </w:rPr>
      </w:pPr>
      <w:r>
        <w:rPr>
          <w:rFonts w:hint="eastAsia" w:ascii="仿宋_GB2312" w:hAnsi="仿宋_GB2312" w:eastAsia="仿宋_GB2312" w:cs="仿宋_GB2312"/>
          <w:b w:val="0"/>
          <w:bCs/>
          <w:color w:val="auto"/>
          <w:kern w:val="2"/>
          <w:sz w:val="32"/>
          <w:szCs w:val="32"/>
          <w:lang w:val="en-US" w:eastAsia="zh-CN" w:bidi="ar"/>
        </w:rPr>
        <w:t>项目因素主要包括：推进高等教育内涵发展、“现代职业教育体系建设改革”项目、“双高双优”计划项目等重点任务，推动职业教育、高等教育高质量发展若干举措重点支持项目、职业教育重要活动、职业教育竞赛活动、职业教育“五金”建设、职业教育教学能力提升项目、社区教育老年教育年度建设项目等。</w:t>
      </w:r>
    </w:p>
    <w:p w14:paraId="59EAC281">
      <w:pPr>
        <w:pStyle w:val="10"/>
        <w:pageBreakBefore w:val="0"/>
        <w:widowControl/>
        <w:numPr>
          <w:ilvl w:val="0"/>
          <w:numId w:val="0"/>
        </w:numPr>
        <w:shd w:val="clear" w:color="auto" w:fill="FFFFFF"/>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kern w:val="2"/>
          <w:sz w:val="32"/>
          <w:szCs w:val="32"/>
          <w:lang w:val="en-US" w:eastAsia="zh-CN" w:bidi="ar"/>
        </w:rPr>
      </w:pPr>
      <w:r>
        <w:rPr>
          <w:rFonts w:hint="eastAsia" w:ascii="楷体" w:hAnsi="楷体" w:eastAsia="楷体" w:cs="楷体"/>
          <w:b w:val="0"/>
          <w:bCs/>
          <w:color w:val="auto"/>
          <w:kern w:val="2"/>
          <w:sz w:val="32"/>
          <w:szCs w:val="32"/>
          <w:lang w:val="en-US" w:eastAsia="zh-CN" w:bidi="ar"/>
        </w:rPr>
        <w:t xml:space="preserve">第十三条 </w:t>
      </w:r>
      <w:r>
        <w:rPr>
          <w:rFonts w:hint="eastAsia" w:ascii="仿宋_GB2312" w:hAnsi="仿宋_GB2312" w:eastAsia="仿宋_GB2312" w:cs="仿宋_GB2312"/>
          <w:b w:val="0"/>
          <w:bCs/>
          <w:color w:val="auto"/>
          <w:kern w:val="2"/>
          <w:sz w:val="32"/>
          <w:szCs w:val="32"/>
          <w:lang w:val="en-US" w:eastAsia="zh-CN" w:bidi="ar"/>
        </w:rPr>
        <w:t>申报单位根据项目因素及实际需求编制下一年度申报材料，包括职业教育专项资金申报表（附件1）、职业教育专项资金项目申报书（附件2）、财政支出项目绩效目标表（附件3）等，于每年8月底前经有关部门审核后报市教育体育局。</w:t>
      </w:r>
    </w:p>
    <w:p w14:paraId="32392344">
      <w:pPr>
        <w:pStyle w:val="10"/>
        <w:pageBreakBefore w:val="0"/>
        <w:widowControl/>
        <w:numPr>
          <w:ilvl w:val="0"/>
          <w:numId w:val="0"/>
        </w:numPr>
        <w:shd w:val="clear" w:color="auto" w:fill="FFFFFF"/>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kern w:val="2"/>
          <w:sz w:val="32"/>
          <w:szCs w:val="32"/>
          <w:lang w:val="en-US" w:eastAsia="zh-CN" w:bidi="ar"/>
        </w:rPr>
      </w:pPr>
      <w:r>
        <w:rPr>
          <w:rFonts w:hint="eastAsia" w:ascii="楷体" w:hAnsi="楷体" w:eastAsia="楷体" w:cs="楷体"/>
          <w:b w:val="0"/>
          <w:bCs/>
          <w:color w:val="auto"/>
          <w:kern w:val="2"/>
          <w:sz w:val="32"/>
          <w:szCs w:val="32"/>
          <w:lang w:val="en-US" w:eastAsia="zh-CN" w:bidi="ar"/>
        </w:rPr>
        <w:t xml:space="preserve">第十四条  </w:t>
      </w:r>
      <w:r>
        <w:rPr>
          <w:rFonts w:hint="eastAsia" w:ascii="仿宋_GB2312" w:hAnsi="仿宋_GB2312" w:eastAsia="仿宋_GB2312" w:cs="仿宋_GB2312"/>
          <w:b w:val="0"/>
          <w:bCs/>
          <w:color w:val="auto"/>
          <w:kern w:val="2"/>
          <w:sz w:val="32"/>
          <w:szCs w:val="32"/>
          <w:lang w:val="en-US" w:eastAsia="zh-CN" w:bidi="ar"/>
        </w:rPr>
        <w:t>市教育体育局根据申报情况，按程序纳入项目库，并依据入库项目和生均奖补因素提出年度资金分配建议。市财政局根据市教育体育局意见及相关资金管理规定和预算安排情况，及时下达和拨付资金。</w:t>
      </w:r>
    </w:p>
    <w:p w14:paraId="5721D85A">
      <w:pPr>
        <w:pStyle w:val="10"/>
        <w:pageBreakBefore w:val="0"/>
        <w:widowControl/>
        <w:numPr>
          <w:ilvl w:val="0"/>
          <w:numId w:val="0"/>
        </w:numPr>
        <w:shd w:val="clear" w:color="auto" w:fill="FFFFFF"/>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kern w:val="2"/>
          <w:sz w:val="32"/>
          <w:szCs w:val="32"/>
          <w:lang w:val="en-US" w:eastAsia="zh-CN" w:bidi="ar"/>
        </w:rPr>
      </w:pPr>
      <w:r>
        <w:rPr>
          <w:rFonts w:hint="eastAsia" w:ascii="楷体" w:hAnsi="楷体" w:eastAsia="楷体" w:cs="楷体"/>
          <w:b w:val="0"/>
          <w:bCs/>
          <w:color w:val="auto"/>
          <w:kern w:val="2"/>
          <w:sz w:val="32"/>
          <w:szCs w:val="32"/>
          <w:lang w:val="en-US" w:eastAsia="zh-CN" w:bidi="ar"/>
        </w:rPr>
        <w:t>第十五条</w:t>
      </w:r>
      <w:r>
        <w:rPr>
          <w:rFonts w:hint="eastAsia" w:ascii="仿宋" w:hAnsi="仿宋" w:eastAsia="仿宋" w:cs="仿宋"/>
          <w:b w:val="0"/>
          <w:bCs/>
          <w:color w:val="auto"/>
          <w:sz w:val="32"/>
          <w:szCs w:val="32"/>
          <w:lang w:val="en-US" w:eastAsia="zh-CN"/>
        </w:rPr>
        <w:t xml:space="preserve"> </w:t>
      </w:r>
      <w:r>
        <w:rPr>
          <w:rFonts w:hint="eastAsia" w:ascii="仿宋_GB2312" w:hAnsi="仿宋_GB2312" w:eastAsia="仿宋_GB2312" w:cs="仿宋_GB2312"/>
          <w:b w:val="0"/>
          <w:bCs/>
          <w:color w:val="auto"/>
          <w:kern w:val="2"/>
          <w:sz w:val="32"/>
          <w:szCs w:val="32"/>
          <w:lang w:val="en-US" w:eastAsia="zh-CN" w:bidi="ar"/>
        </w:rPr>
        <w:t>项目一经确认批复，项目承担单位不得自行调整。项目执行过程中，发生项目终止、变更、调整预算的，必须按照《鄂尔多斯市财政局关于印发〈</w:t>
      </w:r>
      <w:bookmarkStart w:id="11" w:name="_GoBack"/>
      <w:bookmarkEnd w:id="11"/>
      <w:r>
        <w:rPr>
          <w:rFonts w:hint="eastAsia" w:ascii="仿宋_GB2312" w:hAnsi="仿宋_GB2312" w:eastAsia="仿宋_GB2312" w:cs="仿宋_GB2312"/>
          <w:b w:val="0"/>
          <w:bCs/>
          <w:color w:val="auto"/>
          <w:kern w:val="2"/>
          <w:sz w:val="32"/>
          <w:szCs w:val="32"/>
          <w:lang w:val="en-US" w:eastAsia="zh-CN" w:bidi="ar"/>
        </w:rPr>
        <w:t>鄂尔多斯市本级预算调剂管理办法〉的通知》（鄂财预规发〔2024〕5号）程序报批变更。</w:t>
      </w:r>
    </w:p>
    <w:p w14:paraId="713BA41C">
      <w:pPr>
        <w:pStyle w:val="3"/>
        <w:pageBreakBefore w:val="0"/>
        <w:kinsoku/>
        <w:wordWrap/>
        <w:overflowPunct/>
        <w:topLinePunct w:val="0"/>
        <w:autoSpaceDE/>
        <w:autoSpaceDN/>
        <w:bidi w:val="0"/>
        <w:snapToGrid/>
        <w:spacing w:line="560" w:lineRule="exact"/>
        <w:textAlignment w:val="auto"/>
        <w:rPr>
          <w:rFonts w:hint="eastAsia"/>
          <w:b w:val="0"/>
          <w:bCs/>
          <w:color w:val="auto"/>
          <w:lang w:val="en-US" w:eastAsia="zh-CN"/>
        </w:rPr>
      </w:pPr>
      <w:r>
        <w:rPr>
          <w:rFonts w:hint="eastAsia"/>
          <w:b w:val="0"/>
          <w:bCs/>
          <w:color w:val="auto"/>
          <w:lang w:val="en-US" w:eastAsia="zh-CN"/>
        </w:rPr>
        <w:t>第五章 资金绩效管理</w:t>
      </w:r>
    </w:p>
    <w:p w14:paraId="1284DC1C">
      <w:pPr>
        <w:pStyle w:val="10"/>
        <w:pageBreakBefore w:val="0"/>
        <w:widowControl/>
        <w:shd w:val="clear" w:color="auto" w:fill="FFFFFF"/>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kern w:val="2"/>
          <w:sz w:val="32"/>
          <w:szCs w:val="32"/>
          <w:lang w:val="en-US" w:eastAsia="zh-CN" w:bidi="ar"/>
        </w:rPr>
      </w:pPr>
      <w:r>
        <w:rPr>
          <w:rFonts w:hint="eastAsia" w:ascii="楷体" w:hAnsi="楷体" w:eastAsia="楷体" w:cs="楷体"/>
          <w:b w:val="0"/>
          <w:bCs/>
          <w:color w:val="auto"/>
          <w:kern w:val="2"/>
          <w:sz w:val="32"/>
          <w:szCs w:val="32"/>
          <w:lang w:val="en-US" w:eastAsia="zh-CN" w:bidi="ar"/>
        </w:rPr>
        <w:t>第十六条</w:t>
      </w:r>
      <w:r>
        <w:rPr>
          <w:rFonts w:hint="eastAsia" w:ascii="仿宋" w:hAnsi="仿宋" w:eastAsia="仿宋" w:cs="仿宋"/>
          <w:b w:val="0"/>
          <w:bCs/>
          <w:color w:val="auto"/>
          <w:sz w:val="32"/>
          <w:szCs w:val="32"/>
          <w:lang w:val="en-US" w:eastAsia="zh-CN"/>
        </w:rPr>
        <w:t xml:space="preserve">  </w:t>
      </w:r>
      <w:r>
        <w:rPr>
          <w:rFonts w:hint="eastAsia" w:ascii="仿宋_GB2312" w:hAnsi="仿宋_GB2312" w:eastAsia="仿宋_GB2312" w:cs="仿宋_GB2312"/>
          <w:b w:val="0"/>
          <w:bCs/>
          <w:color w:val="auto"/>
          <w:kern w:val="2"/>
          <w:sz w:val="32"/>
          <w:szCs w:val="32"/>
          <w:lang w:val="en-US" w:eastAsia="zh-CN" w:bidi="ar"/>
        </w:rPr>
        <w:t>各级教体、财政部门要加强专项资金预算绩效管理，建立健全全过程预算绩效管理机制，提高资金使用效益。</w:t>
      </w:r>
    </w:p>
    <w:p w14:paraId="482979E7">
      <w:pPr>
        <w:pStyle w:val="10"/>
        <w:pageBreakBefore w:val="0"/>
        <w:widowControl/>
        <w:numPr>
          <w:ilvl w:val="0"/>
          <w:numId w:val="0"/>
        </w:numPr>
        <w:shd w:val="clear" w:color="auto" w:fill="FFFFFF"/>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kern w:val="2"/>
          <w:sz w:val="32"/>
          <w:szCs w:val="32"/>
          <w:lang w:val="en-US" w:eastAsia="zh-CN" w:bidi="ar"/>
        </w:rPr>
      </w:pPr>
      <w:r>
        <w:rPr>
          <w:rFonts w:hint="eastAsia" w:ascii="楷体" w:hAnsi="楷体" w:eastAsia="楷体" w:cs="楷体"/>
          <w:b w:val="0"/>
          <w:bCs/>
          <w:color w:val="auto"/>
          <w:kern w:val="2"/>
          <w:sz w:val="32"/>
          <w:szCs w:val="32"/>
          <w:lang w:val="en-US" w:eastAsia="zh-CN" w:bidi="ar"/>
        </w:rPr>
        <w:t>（一）建立绩效评估机制。</w:t>
      </w:r>
      <w:r>
        <w:rPr>
          <w:rFonts w:hint="eastAsia" w:ascii="仿宋_GB2312" w:hAnsi="仿宋_GB2312" w:eastAsia="仿宋_GB2312" w:cs="仿宋_GB2312"/>
          <w:b w:val="0"/>
          <w:bCs/>
          <w:color w:val="auto"/>
          <w:kern w:val="2"/>
          <w:sz w:val="32"/>
          <w:szCs w:val="32"/>
          <w:lang w:val="en-US" w:eastAsia="zh-CN" w:bidi="ar"/>
        </w:rPr>
        <w:t>市教体局要对新增重大项目开展事前绩效评估。市财政局要加强新增重大项目预算审核，必要时可以组织第三方机构独立开展绩效评估，审核和评估结果作为预算安排的重要参考依据。</w:t>
      </w:r>
    </w:p>
    <w:p w14:paraId="52DB7EEB">
      <w:pPr>
        <w:pStyle w:val="10"/>
        <w:pageBreakBefore w:val="0"/>
        <w:widowControl/>
        <w:numPr>
          <w:ilvl w:val="0"/>
          <w:numId w:val="0"/>
        </w:numPr>
        <w:shd w:val="clear" w:color="auto" w:fill="FFFFFF"/>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kern w:val="2"/>
          <w:sz w:val="32"/>
          <w:szCs w:val="32"/>
          <w:lang w:val="en-US" w:eastAsia="zh-CN" w:bidi="ar"/>
        </w:rPr>
      </w:pPr>
      <w:r>
        <w:rPr>
          <w:rFonts w:hint="eastAsia" w:ascii="楷体" w:hAnsi="楷体" w:eastAsia="楷体" w:cs="楷体"/>
          <w:b w:val="0"/>
          <w:bCs/>
          <w:color w:val="auto"/>
          <w:kern w:val="2"/>
          <w:sz w:val="32"/>
          <w:szCs w:val="32"/>
          <w:lang w:val="en-US" w:eastAsia="zh-CN" w:bidi="ar"/>
        </w:rPr>
        <w:t>（二）强化预算绩效目标管理。</w:t>
      </w:r>
      <w:r>
        <w:rPr>
          <w:rFonts w:hint="eastAsia" w:ascii="仿宋_GB2312" w:hAnsi="仿宋_GB2312" w:eastAsia="仿宋_GB2312" w:cs="仿宋_GB2312"/>
          <w:b w:val="0"/>
          <w:bCs/>
          <w:color w:val="auto"/>
          <w:kern w:val="2"/>
          <w:sz w:val="32"/>
          <w:szCs w:val="32"/>
          <w:lang w:val="en-US" w:eastAsia="zh-CN" w:bidi="ar"/>
        </w:rPr>
        <w:t>市教育体育局在编制专项资金年度预算时，应当科学设置区域绩效目标并分解到项目承担单位。项目承担单位应当依照鄂尔多斯市下达的绩效目标组织做好实施工作。</w:t>
      </w:r>
    </w:p>
    <w:p w14:paraId="49A0D03E">
      <w:pPr>
        <w:pStyle w:val="10"/>
        <w:pageBreakBefore w:val="0"/>
        <w:widowControl/>
        <w:numPr>
          <w:ilvl w:val="0"/>
          <w:numId w:val="0"/>
        </w:numPr>
        <w:shd w:val="clear" w:color="auto" w:fill="FFFFFF"/>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kern w:val="2"/>
          <w:sz w:val="32"/>
          <w:szCs w:val="32"/>
          <w:lang w:val="en-US" w:eastAsia="zh-CN" w:bidi="ar"/>
        </w:rPr>
      </w:pPr>
      <w:r>
        <w:rPr>
          <w:rFonts w:hint="eastAsia" w:ascii="楷体" w:hAnsi="楷体" w:eastAsia="楷体" w:cs="楷体"/>
          <w:b w:val="0"/>
          <w:bCs/>
          <w:color w:val="auto"/>
          <w:kern w:val="2"/>
          <w:sz w:val="32"/>
          <w:szCs w:val="32"/>
          <w:lang w:val="en-US" w:eastAsia="zh-CN" w:bidi="ar"/>
        </w:rPr>
        <w:t>（三）做好预算绩效运行监控。</w:t>
      </w:r>
      <w:r>
        <w:rPr>
          <w:rFonts w:hint="eastAsia" w:ascii="仿宋_GB2312" w:hAnsi="仿宋_GB2312" w:eastAsia="仿宋_GB2312" w:cs="仿宋_GB2312"/>
          <w:b w:val="0"/>
          <w:bCs/>
          <w:color w:val="auto"/>
          <w:kern w:val="2"/>
          <w:sz w:val="32"/>
          <w:szCs w:val="32"/>
          <w:lang w:val="en-US" w:eastAsia="zh-CN" w:bidi="ar"/>
        </w:rPr>
        <w:t>各项目承担单位应当加强专项资金执行过程中的绩效运行监控，对绩效目标实现程度和预算支出进度实行双监控，项目和资金执行偏离既定绩效目标的，应当及时采取措施予以纠正，情节严重的，调整、暂缓或停止该项目执行。</w:t>
      </w:r>
    </w:p>
    <w:p w14:paraId="4C8DDA2D">
      <w:pPr>
        <w:pStyle w:val="10"/>
        <w:pageBreakBefore w:val="0"/>
        <w:widowControl/>
        <w:numPr>
          <w:ilvl w:val="0"/>
          <w:numId w:val="0"/>
        </w:numPr>
        <w:shd w:val="clear" w:color="auto" w:fill="FFFFFF"/>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kern w:val="2"/>
          <w:sz w:val="32"/>
          <w:szCs w:val="32"/>
          <w:lang w:val="en-US" w:eastAsia="zh-CN" w:bidi="ar"/>
        </w:rPr>
      </w:pPr>
      <w:r>
        <w:rPr>
          <w:rFonts w:hint="eastAsia" w:ascii="楷体" w:hAnsi="楷体" w:eastAsia="楷体" w:cs="楷体"/>
          <w:b w:val="0"/>
          <w:bCs/>
          <w:color w:val="auto"/>
          <w:kern w:val="2"/>
          <w:sz w:val="32"/>
          <w:szCs w:val="32"/>
          <w:lang w:val="en-US" w:eastAsia="zh-CN" w:bidi="ar"/>
        </w:rPr>
        <w:t>（四）加强预算绩效评价和结果应用。</w:t>
      </w:r>
      <w:r>
        <w:rPr>
          <w:rFonts w:hint="eastAsia" w:ascii="仿宋_GB2312" w:hAnsi="仿宋_GB2312" w:eastAsia="仿宋_GB2312" w:cs="仿宋_GB2312"/>
          <w:b w:val="0"/>
          <w:bCs/>
          <w:color w:val="auto"/>
          <w:kern w:val="2"/>
          <w:sz w:val="32"/>
          <w:szCs w:val="32"/>
          <w:lang w:val="en-US" w:eastAsia="zh-CN" w:bidi="ar"/>
        </w:rPr>
        <w:t>各项目承担单位应当按照职责分工客观公正地组织开展好专项资金预算绩效评价工作。按照“谁支出、谁自评”的原则，市教育体育局应督促项目承担单位开展绩效自评。各项目承担单位应于每年1月底前报送绩效自评相关材料。同时建立预算绩效评价结果与资金分配挂钩机制，将预算绩效评价结果作为预算安排和资金分配的因素。同时，按规定做好绩效信息公开。</w:t>
      </w:r>
    </w:p>
    <w:p w14:paraId="11398CA5">
      <w:pPr>
        <w:pStyle w:val="10"/>
        <w:pageBreakBefore w:val="0"/>
        <w:widowControl/>
        <w:numPr>
          <w:ilvl w:val="0"/>
          <w:numId w:val="0"/>
        </w:numPr>
        <w:shd w:val="clear" w:color="auto" w:fill="FFFFFF"/>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ascii="仿宋" w:hAnsi="仿宋" w:eastAsia="仿宋" w:cs="仿宋"/>
          <w:b w:val="0"/>
          <w:bCs/>
          <w:color w:val="auto"/>
          <w:sz w:val="32"/>
          <w:szCs w:val="32"/>
        </w:rPr>
      </w:pPr>
      <w:r>
        <w:rPr>
          <w:rFonts w:hint="eastAsia" w:ascii="楷体" w:hAnsi="楷体" w:eastAsia="楷体" w:cs="楷体"/>
          <w:b w:val="0"/>
          <w:bCs/>
          <w:color w:val="auto"/>
          <w:kern w:val="2"/>
          <w:sz w:val="32"/>
          <w:szCs w:val="32"/>
          <w:lang w:val="en-US" w:eastAsia="zh-CN" w:bidi="ar"/>
        </w:rPr>
        <w:t>第十七条</w:t>
      </w:r>
      <w:r>
        <w:rPr>
          <w:rFonts w:hint="eastAsia" w:ascii="仿宋" w:hAnsi="仿宋" w:eastAsia="仿宋" w:cs="仿宋"/>
          <w:b w:val="0"/>
          <w:bCs/>
          <w:color w:val="auto"/>
          <w:sz w:val="32"/>
          <w:szCs w:val="32"/>
          <w:lang w:val="en-US" w:eastAsia="zh-CN"/>
        </w:rPr>
        <w:t xml:space="preserve">  各</w:t>
      </w:r>
      <w:r>
        <w:rPr>
          <w:rFonts w:hint="eastAsia" w:ascii="仿宋_GB2312" w:hAnsi="仿宋_GB2312" w:eastAsia="仿宋_GB2312" w:cs="仿宋_GB2312"/>
          <w:b w:val="0"/>
          <w:bCs/>
          <w:color w:val="auto"/>
          <w:kern w:val="2"/>
          <w:sz w:val="32"/>
          <w:szCs w:val="32"/>
          <w:lang w:val="en-US" w:eastAsia="zh-CN" w:bidi="ar"/>
        </w:rPr>
        <w:t>项目承担单位要强化预算绩效管理，建立健全全过程预算绩效管理制度，提高资金使用效益。各项目承担单位申报资金时需明确专项资金整体绩效目标及年度绩效目标，科学合理确定专项资金绩效目标，做到指标细化、量化。</w:t>
      </w:r>
    </w:p>
    <w:p w14:paraId="3AEE11D7">
      <w:pPr>
        <w:pStyle w:val="3"/>
        <w:pageBreakBefore w:val="0"/>
        <w:kinsoku/>
        <w:wordWrap/>
        <w:overflowPunct/>
        <w:topLinePunct w:val="0"/>
        <w:autoSpaceDE/>
        <w:autoSpaceDN/>
        <w:bidi w:val="0"/>
        <w:snapToGrid/>
        <w:spacing w:line="560" w:lineRule="exact"/>
        <w:textAlignment w:val="auto"/>
        <w:rPr>
          <w:rFonts w:hint="eastAsia"/>
          <w:b w:val="0"/>
          <w:bCs/>
          <w:color w:val="auto"/>
          <w:lang w:val="en-US" w:eastAsia="zh-CN"/>
        </w:rPr>
      </w:pPr>
      <w:r>
        <w:rPr>
          <w:rFonts w:hint="eastAsia"/>
          <w:b w:val="0"/>
          <w:bCs/>
          <w:color w:val="auto"/>
          <w:lang w:val="en-US" w:eastAsia="zh-CN"/>
        </w:rPr>
        <w:t>第六章 监督检查</w:t>
      </w:r>
    </w:p>
    <w:p w14:paraId="0E59259C">
      <w:pPr>
        <w:pStyle w:val="10"/>
        <w:pageBreakBefore w:val="0"/>
        <w:widowControl/>
        <w:numPr>
          <w:ilvl w:val="0"/>
          <w:numId w:val="0"/>
        </w:numPr>
        <w:shd w:val="clear" w:color="auto" w:fill="FFFFFF"/>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kern w:val="2"/>
          <w:sz w:val="32"/>
          <w:szCs w:val="32"/>
          <w:lang w:val="en-US" w:eastAsia="zh-CN" w:bidi="ar"/>
        </w:rPr>
      </w:pPr>
      <w:r>
        <w:rPr>
          <w:rFonts w:hint="eastAsia" w:ascii="楷体" w:hAnsi="楷体" w:eastAsia="楷体" w:cs="楷体"/>
          <w:b w:val="0"/>
          <w:bCs/>
          <w:color w:val="auto"/>
          <w:kern w:val="2"/>
          <w:sz w:val="32"/>
          <w:szCs w:val="32"/>
          <w:lang w:val="en-US" w:eastAsia="zh-CN" w:bidi="ar"/>
        </w:rPr>
        <w:t xml:space="preserve">第十八条  </w:t>
      </w:r>
      <w:r>
        <w:rPr>
          <w:rFonts w:hint="eastAsia" w:ascii="仿宋_GB2312" w:hAnsi="仿宋_GB2312" w:eastAsia="仿宋_GB2312" w:cs="仿宋_GB2312"/>
          <w:b w:val="0"/>
          <w:bCs/>
          <w:color w:val="auto"/>
          <w:kern w:val="2"/>
          <w:sz w:val="32"/>
          <w:szCs w:val="32"/>
          <w:lang w:val="en-US" w:eastAsia="zh-CN" w:bidi="ar"/>
        </w:rPr>
        <w:t>各项目承担单位需严格落实“谁使用、谁负责”的责任机制，确保专款专用，不得弄虚作假、随意调整、严禁挤占、截留和挪用。</w:t>
      </w:r>
    </w:p>
    <w:p w14:paraId="3C87827A">
      <w:pPr>
        <w:pStyle w:val="10"/>
        <w:pageBreakBefore w:val="0"/>
        <w:widowControl/>
        <w:numPr>
          <w:ilvl w:val="0"/>
          <w:numId w:val="0"/>
        </w:numPr>
        <w:shd w:val="clear" w:color="auto" w:fill="FFFFFF"/>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kern w:val="2"/>
          <w:sz w:val="32"/>
          <w:szCs w:val="32"/>
          <w:lang w:val="en-US" w:eastAsia="zh-CN" w:bidi="ar"/>
        </w:rPr>
      </w:pPr>
      <w:r>
        <w:rPr>
          <w:rFonts w:hint="eastAsia" w:ascii="楷体" w:hAnsi="楷体" w:eastAsia="楷体" w:cs="楷体"/>
          <w:b w:val="0"/>
          <w:bCs/>
          <w:color w:val="auto"/>
          <w:kern w:val="2"/>
          <w:sz w:val="32"/>
          <w:szCs w:val="32"/>
          <w:lang w:val="en-US" w:eastAsia="zh-CN" w:bidi="ar"/>
        </w:rPr>
        <w:t>第十九条</w:t>
      </w:r>
      <w:r>
        <w:rPr>
          <w:rFonts w:hint="eastAsia" w:ascii="仿宋" w:hAnsi="仿宋" w:eastAsia="仿宋" w:cs="仿宋"/>
          <w:b w:val="0"/>
          <w:bCs/>
          <w:color w:val="auto"/>
          <w:sz w:val="32"/>
          <w:szCs w:val="32"/>
          <w:lang w:val="en-US" w:eastAsia="zh-CN"/>
        </w:rPr>
        <w:t xml:space="preserve">  </w:t>
      </w:r>
      <w:r>
        <w:rPr>
          <w:rFonts w:hint="eastAsia" w:ascii="仿宋_GB2312" w:hAnsi="仿宋_GB2312" w:eastAsia="仿宋_GB2312" w:cs="仿宋_GB2312"/>
          <w:b w:val="0"/>
          <w:bCs/>
          <w:color w:val="auto"/>
          <w:kern w:val="2"/>
          <w:sz w:val="32"/>
          <w:szCs w:val="32"/>
          <w:lang w:val="en-US" w:eastAsia="zh-CN" w:bidi="ar"/>
        </w:rPr>
        <w:t>各项目承担单位需建立单位内部专项资金管理办法等管理制度，将经费纳入单位财务统一管理、规范支出、单独设置明细科目核算；严格财务和资产管理，健全项目预决算审核及内部风险防控等机制；自觉接受财政、审计等部门的监督检查，保障资金使用安全规范。涉及政府采购的要履行政府采购审批程序。</w:t>
      </w:r>
    </w:p>
    <w:p w14:paraId="050EFE9D">
      <w:pPr>
        <w:pStyle w:val="10"/>
        <w:pageBreakBefore w:val="0"/>
        <w:widowControl/>
        <w:numPr>
          <w:ilvl w:val="0"/>
          <w:numId w:val="0"/>
        </w:numPr>
        <w:shd w:val="clear" w:color="auto" w:fill="FFFFFF"/>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kern w:val="2"/>
          <w:sz w:val="32"/>
          <w:szCs w:val="32"/>
          <w:lang w:val="en-US" w:eastAsia="zh-CN" w:bidi="ar"/>
        </w:rPr>
      </w:pPr>
      <w:r>
        <w:rPr>
          <w:rFonts w:hint="eastAsia" w:ascii="楷体" w:hAnsi="楷体" w:eastAsia="楷体" w:cs="楷体"/>
          <w:b w:val="0"/>
          <w:bCs/>
          <w:color w:val="auto"/>
          <w:kern w:val="2"/>
          <w:sz w:val="32"/>
          <w:szCs w:val="32"/>
          <w:lang w:val="en-US" w:eastAsia="zh-CN" w:bidi="ar"/>
        </w:rPr>
        <w:t>第二十条</w:t>
      </w:r>
      <w:r>
        <w:rPr>
          <w:rFonts w:hint="eastAsia" w:ascii="仿宋" w:hAnsi="仿宋" w:eastAsia="仿宋" w:cs="仿宋"/>
          <w:b w:val="0"/>
          <w:bCs/>
          <w:color w:val="auto"/>
          <w:sz w:val="32"/>
          <w:szCs w:val="32"/>
          <w:lang w:val="en-US" w:eastAsia="zh-CN"/>
        </w:rPr>
        <w:t xml:space="preserve">  </w:t>
      </w:r>
      <w:r>
        <w:rPr>
          <w:rFonts w:hint="eastAsia" w:ascii="仿宋_GB2312" w:hAnsi="仿宋_GB2312" w:eastAsia="仿宋_GB2312" w:cs="仿宋_GB2312"/>
          <w:b w:val="0"/>
          <w:bCs/>
          <w:color w:val="auto"/>
          <w:kern w:val="2"/>
          <w:sz w:val="32"/>
          <w:szCs w:val="32"/>
          <w:lang w:val="en-US" w:eastAsia="zh-CN" w:bidi="ar"/>
        </w:rPr>
        <w:t>对有下列情形之一的，将视情节轻重，追回拨付的资金，取消资金补助资格，并按《财政违法行政处罚处分条例》有关规定进行处理：</w:t>
      </w:r>
    </w:p>
    <w:p w14:paraId="2EBA1FC5">
      <w:pPr>
        <w:pStyle w:val="10"/>
        <w:pageBreakBefore w:val="0"/>
        <w:widowControl/>
        <w:numPr>
          <w:ilvl w:val="0"/>
          <w:numId w:val="0"/>
        </w:numPr>
        <w:shd w:val="clear" w:color="auto" w:fill="FFFFFF"/>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kern w:val="2"/>
          <w:sz w:val="32"/>
          <w:szCs w:val="32"/>
          <w:lang w:val="en-US" w:eastAsia="zh-CN" w:bidi="ar"/>
        </w:rPr>
      </w:pPr>
      <w:r>
        <w:rPr>
          <w:rFonts w:hint="eastAsia" w:ascii="仿宋_GB2312" w:hAnsi="仿宋_GB2312" w:eastAsia="仿宋_GB2312" w:cs="仿宋_GB2312"/>
          <w:b w:val="0"/>
          <w:bCs/>
          <w:color w:val="auto"/>
          <w:kern w:val="2"/>
          <w:sz w:val="32"/>
          <w:szCs w:val="32"/>
          <w:lang w:val="en-US" w:eastAsia="zh-CN" w:bidi="ar"/>
        </w:rPr>
        <w:t>（一）申请报告和申报内容不真实骗取奖补资金的；</w:t>
      </w:r>
    </w:p>
    <w:p w14:paraId="318BC213">
      <w:pPr>
        <w:pStyle w:val="10"/>
        <w:pageBreakBefore w:val="0"/>
        <w:widowControl/>
        <w:numPr>
          <w:ilvl w:val="0"/>
          <w:numId w:val="0"/>
        </w:numPr>
        <w:shd w:val="clear" w:color="auto" w:fill="FFFFFF"/>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kern w:val="2"/>
          <w:sz w:val="32"/>
          <w:szCs w:val="32"/>
          <w:lang w:val="en-US" w:eastAsia="zh-CN" w:bidi="ar"/>
        </w:rPr>
      </w:pPr>
      <w:r>
        <w:rPr>
          <w:rFonts w:hint="eastAsia" w:ascii="仿宋_GB2312" w:hAnsi="仿宋_GB2312" w:eastAsia="仿宋_GB2312" w:cs="仿宋_GB2312"/>
          <w:b w:val="0"/>
          <w:bCs/>
          <w:color w:val="auto"/>
          <w:kern w:val="2"/>
          <w:sz w:val="32"/>
          <w:szCs w:val="32"/>
          <w:lang w:val="en-US" w:eastAsia="zh-CN" w:bidi="ar"/>
        </w:rPr>
        <w:t>（二）擅自变更项目内容的；</w:t>
      </w:r>
    </w:p>
    <w:p w14:paraId="3DB8ADA3">
      <w:pPr>
        <w:pStyle w:val="10"/>
        <w:pageBreakBefore w:val="0"/>
        <w:widowControl/>
        <w:numPr>
          <w:ilvl w:val="0"/>
          <w:numId w:val="0"/>
        </w:numPr>
        <w:shd w:val="clear" w:color="auto" w:fill="FFFFFF"/>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kern w:val="2"/>
          <w:sz w:val="32"/>
          <w:szCs w:val="32"/>
          <w:lang w:val="en-US" w:eastAsia="zh-CN" w:bidi="ar"/>
        </w:rPr>
      </w:pPr>
      <w:r>
        <w:rPr>
          <w:rFonts w:hint="eastAsia" w:ascii="仿宋_GB2312" w:hAnsi="仿宋_GB2312" w:eastAsia="仿宋_GB2312" w:cs="仿宋_GB2312"/>
          <w:b w:val="0"/>
          <w:bCs/>
          <w:color w:val="auto"/>
          <w:kern w:val="2"/>
          <w:sz w:val="32"/>
          <w:szCs w:val="32"/>
          <w:lang w:val="en-US" w:eastAsia="zh-CN" w:bidi="ar"/>
        </w:rPr>
        <w:t>（三）套取、截留、挪用、挤占资金的；</w:t>
      </w:r>
    </w:p>
    <w:p w14:paraId="13856BB3">
      <w:pPr>
        <w:pStyle w:val="10"/>
        <w:pageBreakBefore w:val="0"/>
        <w:widowControl/>
        <w:numPr>
          <w:ilvl w:val="0"/>
          <w:numId w:val="0"/>
        </w:numPr>
        <w:shd w:val="clear" w:color="auto" w:fill="FFFFFF"/>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kern w:val="2"/>
          <w:sz w:val="32"/>
          <w:szCs w:val="32"/>
          <w:lang w:val="en-US" w:eastAsia="zh-CN" w:bidi="ar"/>
        </w:rPr>
      </w:pPr>
      <w:r>
        <w:rPr>
          <w:rFonts w:hint="eastAsia" w:ascii="仿宋_GB2312" w:hAnsi="仿宋_GB2312" w:eastAsia="仿宋_GB2312" w:cs="仿宋_GB2312"/>
          <w:b w:val="0"/>
          <w:bCs/>
          <w:color w:val="auto"/>
          <w:kern w:val="2"/>
          <w:sz w:val="32"/>
          <w:szCs w:val="32"/>
          <w:lang w:val="en-US" w:eastAsia="zh-CN" w:bidi="ar"/>
        </w:rPr>
        <w:t>（四）不按规定上报资金使用情况的；</w:t>
      </w:r>
    </w:p>
    <w:p w14:paraId="3FA24529">
      <w:pPr>
        <w:pStyle w:val="10"/>
        <w:pageBreakBefore w:val="0"/>
        <w:widowControl/>
        <w:numPr>
          <w:ilvl w:val="0"/>
          <w:numId w:val="0"/>
        </w:numPr>
        <w:shd w:val="clear" w:color="auto" w:fill="FFFFFF"/>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ascii="仿宋" w:hAnsi="仿宋" w:eastAsia="仿宋" w:cs="仿宋"/>
          <w:b w:val="0"/>
          <w:bCs/>
          <w:color w:val="auto"/>
          <w:sz w:val="32"/>
          <w:szCs w:val="32"/>
        </w:rPr>
      </w:pPr>
      <w:r>
        <w:rPr>
          <w:rFonts w:hint="eastAsia" w:ascii="仿宋_GB2312" w:hAnsi="仿宋_GB2312" w:eastAsia="仿宋_GB2312" w:cs="仿宋_GB2312"/>
          <w:b w:val="0"/>
          <w:bCs/>
          <w:color w:val="auto"/>
          <w:kern w:val="2"/>
          <w:sz w:val="32"/>
          <w:szCs w:val="32"/>
          <w:lang w:val="en-US" w:eastAsia="zh-CN" w:bidi="ar"/>
        </w:rPr>
        <w:t>（五）因管理不善，造成资金损失的。</w:t>
      </w:r>
    </w:p>
    <w:p w14:paraId="4CCE1861">
      <w:pPr>
        <w:pStyle w:val="10"/>
        <w:pageBreakBefore w:val="0"/>
        <w:widowControl/>
        <w:numPr>
          <w:ilvl w:val="0"/>
          <w:numId w:val="0"/>
        </w:numPr>
        <w:shd w:val="clear" w:color="auto" w:fill="FFFFFF"/>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ascii="仿宋" w:hAnsi="仿宋" w:eastAsia="仿宋" w:cs="仿宋"/>
          <w:b w:val="0"/>
          <w:bCs/>
          <w:color w:val="auto"/>
          <w:sz w:val="32"/>
          <w:szCs w:val="32"/>
        </w:rPr>
      </w:pPr>
      <w:r>
        <w:rPr>
          <w:rFonts w:hint="eastAsia" w:ascii="楷体" w:hAnsi="楷体" w:eastAsia="楷体" w:cs="楷体"/>
          <w:b w:val="0"/>
          <w:bCs/>
          <w:color w:val="auto"/>
          <w:kern w:val="2"/>
          <w:sz w:val="32"/>
          <w:szCs w:val="32"/>
          <w:lang w:val="en-US" w:eastAsia="zh-CN" w:bidi="ar"/>
        </w:rPr>
        <w:t>第二十一条</w:t>
      </w:r>
      <w:r>
        <w:rPr>
          <w:rFonts w:hint="eastAsia" w:ascii="仿宋" w:hAnsi="仿宋" w:eastAsia="仿宋" w:cs="仿宋"/>
          <w:b w:val="0"/>
          <w:bCs/>
          <w:color w:val="auto"/>
          <w:sz w:val="32"/>
          <w:szCs w:val="32"/>
          <w:lang w:val="en-US" w:eastAsia="zh-CN"/>
        </w:rPr>
        <w:t xml:space="preserve">  </w:t>
      </w:r>
      <w:r>
        <w:rPr>
          <w:rFonts w:hint="eastAsia" w:ascii="仿宋_GB2312" w:hAnsi="仿宋_GB2312" w:eastAsia="仿宋_GB2312" w:cs="仿宋_GB2312"/>
          <w:b w:val="0"/>
          <w:bCs/>
          <w:color w:val="auto"/>
          <w:kern w:val="2"/>
          <w:sz w:val="32"/>
          <w:szCs w:val="32"/>
          <w:lang w:val="en-US" w:eastAsia="zh-CN" w:bidi="ar"/>
        </w:rPr>
        <w:t>相关单位和人员在资金分配、审核和使用等过程中，存在滥用职权、玩忽职守、徇私舞弊及违规分配、虚列支出、截留滞留、挪用挤占、套取骗取等违法违规行为的，依照有关规定追究相应责任；构成犯罪的，依法追究刑事责任。</w:t>
      </w:r>
    </w:p>
    <w:p w14:paraId="4F3ACE09">
      <w:pPr>
        <w:pStyle w:val="3"/>
        <w:pageBreakBefore w:val="0"/>
        <w:kinsoku/>
        <w:wordWrap/>
        <w:overflowPunct/>
        <w:topLinePunct w:val="0"/>
        <w:autoSpaceDE/>
        <w:autoSpaceDN/>
        <w:bidi w:val="0"/>
        <w:snapToGrid/>
        <w:spacing w:line="560" w:lineRule="exact"/>
        <w:textAlignment w:val="auto"/>
        <w:rPr>
          <w:b w:val="0"/>
          <w:bCs/>
          <w:color w:val="auto"/>
        </w:rPr>
      </w:pPr>
      <w:r>
        <w:rPr>
          <w:rFonts w:hint="eastAsia"/>
          <w:b w:val="0"/>
          <w:bCs/>
          <w:color w:val="auto"/>
          <w:lang w:val="en-US" w:eastAsia="zh-CN"/>
        </w:rPr>
        <w:t>第七章 信息公开</w:t>
      </w:r>
    </w:p>
    <w:p w14:paraId="049BCB1A">
      <w:pPr>
        <w:pStyle w:val="10"/>
        <w:pageBreakBefore w:val="0"/>
        <w:widowControl/>
        <w:numPr>
          <w:ilvl w:val="0"/>
          <w:numId w:val="0"/>
        </w:numPr>
        <w:shd w:val="clear" w:color="auto" w:fill="FFFFFF"/>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kern w:val="2"/>
          <w:sz w:val="32"/>
          <w:szCs w:val="32"/>
          <w:lang w:val="en-US" w:eastAsia="zh-CN" w:bidi="ar"/>
        </w:rPr>
      </w:pPr>
      <w:r>
        <w:rPr>
          <w:rFonts w:hint="eastAsia" w:ascii="楷体" w:hAnsi="楷体" w:eastAsia="楷体" w:cs="楷体"/>
          <w:b w:val="0"/>
          <w:bCs/>
          <w:color w:val="auto"/>
          <w:kern w:val="2"/>
          <w:sz w:val="32"/>
          <w:szCs w:val="32"/>
          <w:lang w:val="en-US" w:eastAsia="zh-CN" w:bidi="ar"/>
        </w:rPr>
        <w:t>第二十二条</w:t>
      </w:r>
      <w:r>
        <w:rPr>
          <w:rFonts w:hint="eastAsia" w:ascii="仿宋" w:hAnsi="仿宋" w:eastAsia="仿宋" w:cs="仿宋"/>
          <w:b w:val="0"/>
          <w:bCs/>
          <w:color w:val="auto"/>
          <w:sz w:val="32"/>
          <w:szCs w:val="32"/>
          <w:lang w:val="en-US" w:eastAsia="zh-CN"/>
        </w:rPr>
        <w:t xml:space="preserve">  </w:t>
      </w:r>
      <w:r>
        <w:rPr>
          <w:rFonts w:hint="eastAsia" w:ascii="仿宋_GB2312" w:hAnsi="仿宋_GB2312" w:eastAsia="仿宋_GB2312" w:cs="仿宋_GB2312"/>
          <w:b w:val="0"/>
          <w:bCs/>
          <w:color w:val="auto"/>
          <w:kern w:val="2"/>
          <w:sz w:val="32"/>
          <w:szCs w:val="32"/>
          <w:lang w:val="en-US" w:eastAsia="zh-CN" w:bidi="ar"/>
        </w:rPr>
        <w:t>市教育体育局通过官方网站按规定公开专项资金相关内容。信息公开的日期不少于7个工作日，接受社会各界的监督，确保资金使用和管理公开透明。</w:t>
      </w:r>
    </w:p>
    <w:p w14:paraId="151FEAC2">
      <w:pPr>
        <w:pStyle w:val="3"/>
        <w:pageBreakBefore w:val="0"/>
        <w:kinsoku/>
        <w:wordWrap/>
        <w:overflowPunct/>
        <w:topLinePunct w:val="0"/>
        <w:autoSpaceDE/>
        <w:autoSpaceDN/>
        <w:bidi w:val="0"/>
        <w:snapToGrid/>
        <w:spacing w:line="560" w:lineRule="exact"/>
        <w:textAlignment w:val="auto"/>
        <w:rPr>
          <w:rFonts w:hint="eastAsia"/>
          <w:b w:val="0"/>
          <w:bCs/>
          <w:color w:val="auto"/>
          <w:lang w:val="en-US" w:eastAsia="zh-CN"/>
        </w:rPr>
      </w:pPr>
      <w:r>
        <w:rPr>
          <w:rFonts w:hint="eastAsia"/>
          <w:b w:val="0"/>
          <w:bCs/>
          <w:color w:val="auto"/>
          <w:lang w:val="en-US" w:eastAsia="zh-CN"/>
        </w:rPr>
        <w:t>第八章  附则</w:t>
      </w:r>
    </w:p>
    <w:p w14:paraId="075CE98F">
      <w:pPr>
        <w:pStyle w:val="10"/>
        <w:pageBreakBefore w:val="0"/>
        <w:widowControl/>
        <w:numPr>
          <w:ilvl w:val="0"/>
          <w:numId w:val="0"/>
        </w:numPr>
        <w:shd w:val="clear" w:color="auto" w:fill="FFFFFF"/>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kern w:val="2"/>
          <w:sz w:val="32"/>
          <w:szCs w:val="32"/>
          <w:lang w:val="en-US" w:eastAsia="zh-CN" w:bidi="ar"/>
        </w:rPr>
      </w:pPr>
      <w:r>
        <w:rPr>
          <w:rFonts w:hint="eastAsia" w:ascii="楷体" w:hAnsi="楷体" w:eastAsia="楷体" w:cs="楷体"/>
          <w:b w:val="0"/>
          <w:bCs/>
          <w:color w:val="auto"/>
          <w:kern w:val="2"/>
          <w:sz w:val="32"/>
          <w:szCs w:val="32"/>
          <w:lang w:val="en-US" w:eastAsia="zh-CN" w:bidi="ar"/>
        </w:rPr>
        <w:t>第二十三条</w:t>
      </w:r>
      <w:r>
        <w:rPr>
          <w:rFonts w:hint="eastAsia" w:ascii="仿宋" w:hAnsi="仿宋" w:eastAsia="仿宋" w:cs="仿宋"/>
          <w:b w:val="0"/>
          <w:bCs/>
          <w:color w:val="auto"/>
          <w:sz w:val="32"/>
          <w:szCs w:val="32"/>
          <w:lang w:val="en-US" w:eastAsia="zh-CN"/>
        </w:rPr>
        <w:t xml:space="preserve">  </w:t>
      </w:r>
      <w:r>
        <w:rPr>
          <w:rFonts w:hint="eastAsia" w:ascii="仿宋_GB2312" w:hAnsi="仿宋_GB2312" w:eastAsia="仿宋_GB2312" w:cs="仿宋_GB2312"/>
          <w:b w:val="0"/>
          <w:bCs/>
          <w:color w:val="auto"/>
          <w:kern w:val="2"/>
          <w:sz w:val="32"/>
          <w:szCs w:val="32"/>
          <w:lang w:val="en-US" w:eastAsia="zh-CN" w:bidi="ar"/>
        </w:rPr>
        <w:t>上级专项资金政策实施期限按照上级部门规定执行。本级职业教育专项资金政策实施期限将根据发展规划、政策情况、绩效评价结果等实际情况实行动态调整。</w:t>
      </w:r>
    </w:p>
    <w:p w14:paraId="61754AED">
      <w:pPr>
        <w:pStyle w:val="10"/>
        <w:pageBreakBefore w:val="0"/>
        <w:widowControl/>
        <w:numPr>
          <w:ilvl w:val="0"/>
          <w:numId w:val="0"/>
        </w:numPr>
        <w:shd w:val="clear" w:color="auto" w:fill="FFFFFF"/>
        <w:kinsoku/>
        <w:wordWrap/>
        <w:overflowPunct/>
        <w:topLinePunct w:val="0"/>
        <w:autoSpaceDE/>
        <w:autoSpaceDN/>
        <w:bidi w:val="0"/>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auto"/>
          <w:kern w:val="2"/>
          <w:sz w:val="32"/>
          <w:szCs w:val="32"/>
          <w:lang w:val="en-US" w:eastAsia="zh-CN" w:bidi="ar"/>
        </w:rPr>
      </w:pPr>
      <w:r>
        <w:rPr>
          <w:rFonts w:hint="eastAsia" w:ascii="楷体" w:hAnsi="楷体" w:eastAsia="楷体" w:cs="楷体"/>
          <w:b w:val="0"/>
          <w:bCs/>
          <w:color w:val="auto"/>
          <w:kern w:val="2"/>
          <w:sz w:val="32"/>
          <w:szCs w:val="32"/>
          <w:lang w:val="en-US" w:eastAsia="zh-CN" w:bidi="ar"/>
        </w:rPr>
        <w:t>第二十四条</w:t>
      </w:r>
      <w:r>
        <w:rPr>
          <w:rFonts w:hint="eastAsia" w:ascii="仿宋" w:hAnsi="仿宋" w:eastAsia="仿宋" w:cs="仿宋"/>
          <w:b w:val="0"/>
          <w:bCs/>
          <w:color w:val="auto"/>
          <w:sz w:val="32"/>
          <w:szCs w:val="32"/>
          <w:lang w:val="en-US" w:eastAsia="zh-CN"/>
        </w:rPr>
        <w:t xml:space="preserve">  </w:t>
      </w:r>
      <w:r>
        <w:rPr>
          <w:rFonts w:hint="eastAsia" w:ascii="仿宋_GB2312" w:hAnsi="仿宋_GB2312" w:eastAsia="仿宋_GB2312" w:cs="仿宋_GB2312"/>
          <w:b w:val="0"/>
          <w:bCs/>
          <w:color w:val="auto"/>
          <w:kern w:val="2"/>
          <w:sz w:val="32"/>
          <w:szCs w:val="32"/>
          <w:lang w:val="en-US" w:eastAsia="zh-CN" w:bidi="ar"/>
        </w:rPr>
        <w:t>本办法由市教育体育局、市财政局按职责分工负责解释，自印发之日起施行，有效期2年。</w:t>
      </w:r>
    </w:p>
    <w:p w14:paraId="52BD8B90">
      <w:pPr>
        <w:pageBreakBefore w:val="0"/>
        <w:kinsoku/>
        <w:wordWrap/>
        <w:overflowPunct/>
        <w:topLinePunct w:val="0"/>
        <w:autoSpaceDE/>
        <w:autoSpaceDN/>
        <w:bidi w:val="0"/>
        <w:snapToGrid/>
        <w:spacing w:line="560" w:lineRule="exact"/>
        <w:ind w:firstLine="640" w:firstLineChars="200"/>
        <w:jc w:val="both"/>
        <w:textAlignment w:val="auto"/>
        <w:rPr>
          <w:rFonts w:ascii="仿宋" w:hAnsi="仿宋" w:eastAsia="仿宋"/>
          <w:b w:val="0"/>
          <w:bCs/>
          <w:color w:val="auto"/>
          <w:sz w:val="32"/>
          <w:szCs w:val="32"/>
        </w:rPr>
      </w:pPr>
    </w:p>
    <w:p w14:paraId="61FA8FC4">
      <w:pPr>
        <w:pageBreakBefore w:val="0"/>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b w:val="0"/>
          <w:bCs/>
          <w:color w:val="auto"/>
          <w:kern w:val="2"/>
          <w:sz w:val="32"/>
          <w:szCs w:val="32"/>
          <w:lang w:val="en-US" w:eastAsia="zh-CN" w:bidi="ar"/>
        </w:rPr>
      </w:pPr>
      <w:r>
        <w:rPr>
          <w:rFonts w:hint="eastAsia" w:ascii="仿宋_GB2312" w:hAnsi="仿宋_GB2312" w:eastAsia="仿宋_GB2312" w:cs="仿宋_GB2312"/>
          <w:b w:val="0"/>
          <w:bCs/>
          <w:color w:val="auto"/>
          <w:kern w:val="2"/>
          <w:sz w:val="32"/>
          <w:szCs w:val="32"/>
          <w:lang w:val="en-US" w:eastAsia="zh-CN" w:bidi="ar"/>
        </w:rPr>
        <w:t>附件：1.职业教育专项资金申报表</w:t>
      </w:r>
    </w:p>
    <w:p w14:paraId="1D965393">
      <w:pPr>
        <w:pageBreakBefore w:val="0"/>
        <w:kinsoku/>
        <w:wordWrap/>
        <w:overflowPunct/>
        <w:topLinePunct w:val="0"/>
        <w:autoSpaceDE/>
        <w:autoSpaceDN/>
        <w:bidi w:val="0"/>
        <w:snapToGrid/>
        <w:spacing w:line="560" w:lineRule="exact"/>
        <w:ind w:firstLine="1600" w:firstLineChars="500"/>
        <w:jc w:val="both"/>
        <w:textAlignment w:val="auto"/>
        <w:rPr>
          <w:rFonts w:hint="eastAsia" w:ascii="仿宋_GB2312" w:hAnsi="仿宋_GB2312" w:eastAsia="仿宋_GB2312" w:cs="仿宋_GB2312"/>
          <w:b w:val="0"/>
          <w:bCs/>
          <w:color w:val="auto"/>
          <w:kern w:val="2"/>
          <w:sz w:val="32"/>
          <w:szCs w:val="32"/>
          <w:lang w:val="en-US" w:eastAsia="zh-CN" w:bidi="ar"/>
        </w:rPr>
      </w:pPr>
      <w:r>
        <w:rPr>
          <w:rFonts w:hint="eastAsia" w:ascii="仿宋_GB2312" w:hAnsi="仿宋_GB2312" w:eastAsia="仿宋_GB2312" w:cs="仿宋_GB2312"/>
          <w:b w:val="0"/>
          <w:bCs/>
          <w:color w:val="auto"/>
          <w:kern w:val="2"/>
          <w:sz w:val="32"/>
          <w:szCs w:val="32"/>
          <w:lang w:val="en-US" w:eastAsia="zh-CN" w:bidi="ar"/>
        </w:rPr>
        <w:t>2.职业教育专项资金项目申报书</w:t>
      </w:r>
    </w:p>
    <w:p w14:paraId="72CFFF6C">
      <w:pPr>
        <w:pageBreakBefore w:val="0"/>
        <w:kinsoku/>
        <w:wordWrap/>
        <w:overflowPunct/>
        <w:topLinePunct w:val="0"/>
        <w:autoSpaceDE/>
        <w:autoSpaceDN/>
        <w:bidi w:val="0"/>
        <w:snapToGrid/>
        <w:spacing w:line="560" w:lineRule="exact"/>
        <w:ind w:firstLine="1600" w:firstLineChars="500"/>
        <w:jc w:val="both"/>
        <w:textAlignment w:val="auto"/>
        <w:rPr>
          <w:rFonts w:hint="eastAsia" w:ascii="仿宋_GB2312" w:hAnsi="仿宋_GB2312" w:eastAsia="仿宋_GB2312" w:cs="仿宋_GB2312"/>
          <w:b w:val="0"/>
          <w:bCs/>
          <w:color w:val="auto"/>
          <w:kern w:val="2"/>
          <w:sz w:val="32"/>
          <w:szCs w:val="32"/>
          <w:lang w:val="en-US" w:eastAsia="zh-CN" w:bidi="ar"/>
        </w:rPr>
      </w:pPr>
      <w:r>
        <w:rPr>
          <w:rFonts w:hint="eastAsia" w:ascii="仿宋_GB2312" w:hAnsi="仿宋_GB2312" w:eastAsia="仿宋_GB2312" w:cs="仿宋_GB2312"/>
          <w:b w:val="0"/>
          <w:bCs/>
          <w:color w:val="auto"/>
          <w:kern w:val="2"/>
          <w:sz w:val="32"/>
          <w:szCs w:val="32"/>
          <w:lang w:val="en-US" w:eastAsia="zh-CN" w:bidi="ar"/>
        </w:rPr>
        <w:t>3.财政支出项目绩效目标表</w:t>
      </w:r>
    </w:p>
    <w:p w14:paraId="2E101BF6">
      <w:pPr>
        <w:rPr>
          <w:rFonts w:hint="eastAsia" w:ascii="仿宋_GB2312" w:hAnsi="仿宋_GB2312" w:eastAsia="仿宋_GB2312" w:cs="仿宋_GB2312"/>
          <w:b w:val="0"/>
          <w:bCs/>
          <w:color w:val="auto"/>
          <w:kern w:val="2"/>
          <w:sz w:val="32"/>
          <w:szCs w:val="32"/>
          <w:lang w:val="en-US" w:eastAsia="zh-CN" w:bidi="ar"/>
        </w:rPr>
      </w:pPr>
      <w:r>
        <w:rPr>
          <w:rFonts w:hint="eastAsia" w:ascii="仿宋_GB2312" w:hAnsi="仿宋_GB2312" w:eastAsia="仿宋_GB2312" w:cs="仿宋_GB2312"/>
          <w:b w:val="0"/>
          <w:bCs/>
          <w:color w:val="auto"/>
          <w:kern w:val="2"/>
          <w:sz w:val="32"/>
          <w:szCs w:val="32"/>
          <w:lang w:val="en-US" w:eastAsia="zh-CN" w:bidi="ar"/>
        </w:rPr>
        <w:br w:type="page"/>
      </w:r>
    </w:p>
    <w:p w14:paraId="1706FA9F">
      <w:pPr>
        <w:pageBreakBefore w:val="0"/>
        <w:kinsoku/>
        <w:wordWrap/>
        <w:overflowPunct/>
        <w:topLinePunct w:val="0"/>
        <w:autoSpaceDE/>
        <w:bidi w:val="0"/>
        <w:spacing w:after="156" w:afterLines="50" w:line="560" w:lineRule="exact"/>
        <w:ind w:firstLine="200"/>
        <w:rPr>
          <w:rFonts w:hint="eastAsia" w:ascii="黑体" w:hAnsi="黑体" w:eastAsia="黑体" w:cs="黑体"/>
          <w:b w:val="0"/>
          <w:bCs/>
          <w:color w:val="auto"/>
          <w:spacing w:val="6"/>
          <w:sz w:val="32"/>
          <w:szCs w:val="32"/>
        </w:rPr>
      </w:pPr>
      <w:r>
        <w:rPr>
          <w:rFonts w:hint="eastAsia" w:ascii="黑体" w:hAnsi="黑体" w:eastAsia="黑体" w:cs="黑体"/>
          <w:b w:val="0"/>
          <w:bCs/>
          <w:color w:val="auto"/>
          <w:spacing w:val="6"/>
          <w:sz w:val="32"/>
          <w:szCs w:val="32"/>
        </w:rPr>
        <w:t>附件1</w:t>
      </w:r>
    </w:p>
    <w:p w14:paraId="575D5A58">
      <w:pPr>
        <w:pageBreakBefore w:val="0"/>
        <w:kinsoku/>
        <w:wordWrap/>
        <w:overflowPunct/>
        <w:topLinePunct w:val="0"/>
        <w:autoSpaceDE/>
        <w:bidi w:val="0"/>
        <w:spacing w:after="312" w:afterLines="100" w:line="560" w:lineRule="exact"/>
        <w:ind w:firstLine="200"/>
        <w:jc w:val="center"/>
        <w:rPr>
          <w:rFonts w:hint="eastAsia" w:ascii="方正小标宋简体" w:hAnsi="方正小标宋简体" w:eastAsia="方正小标宋简体" w:cs="方正小标宋简体"/>
          <w:b w:val="0"/>
          <w:bCs/>
          <w:color w:val="auto"/>
          <w:spacing w:val="6"/>
          <w:sz w:val="44"/>
          <w:szCs w:val="44"/>
        </w:rPr>
      </w:pPr>
      <w:r>
        <w:rPr>
          <w:rFonts w:hint="eastAsia" w:ascii="方正小标宋简体" w:hAnsi="方正小标宋简体" w:eastAsia="方正小标宋简体" w:cs="方正小标宋简体"/>
          <w:b w:val="0"/>
          <w:bCs/>
          <w:color w:val="auto"/>
          <w:spacing w:val="6"/>
          <w:sz w:val="44"/>
          <w:szCs w:val="44"/>
        </w:rPr>
        <w:t>职业教育专项资金申报表</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3"/>
        <w:gridCol w:w="2773"/>
        <w:gridCol w:w="4046"/>
      </w:tblGrid>
      <w:tr w14:paraId="1DC00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999" w:type="pct"/>
            <w:tcBorders>
              <w:top w:val="single" w:color="auto" w:sz="4" w:space="0"/>
              <w:left w:val="single" w:color="auto" w:sz="4" w:space="0"/>
              <w:bottom w:val="single" w:color="auto" w:sz="4" w:space="0"/>
              <w:right w:val="single" w:color="auto" w:sz="4" w:space="0"/>
            </w:tcBorders>
            <w:vAlign w:val="center"/>
          </w:tcPr>
          <w:p w14:paraId="43C481B2">
            <w:pPr>
              <w:pageBreakBefore w:val="0"/>
              <w:kinsoku/>
              <w:wordWrap/>
              <w:overflowPunct/>
              <w:topLinePunct w:val="0"/>
              <w:autoSpaceDE/>
              <w:bidi w:val="0"/>
              <w:snapToGrid w:val="0"/>
              <w:spacing w:line="560" w:lineRule="exact"/>
              <w:ind w:firstLine="200"/>
              <w:jc w:val="center"/>
              <w:rPr>
                <w:rFonts w:ascii="仿宋" w:hAnsi="仿宋" w:eastAsia="仿宋"/>
                <w:b w:val="0"/>
                <w:bCs/>
                <w:color w:val="auto"/>
                <w:sz w:val="32"/>
                <w:szCs w:val="32"/>
              </w:rPr>
            </w:pPr>
            <w:r>
              <w:rPr>
                <w:rFonts w:hint="eastAsia" w:ascii="仿宋" w:hAnsi="仿宋" w:eastAsia="仿宋"/>
                <w:b w:val="0"/>
                <w:bCs/>
                <w:color w:val="auto"/>
                <w:sz w:val="32"/>
                <w:szCs w:val="32"/>
              </w:rPr>
              <w:t>申报单位</w:t>
            </w:r>
          </w:p>
        </w:tc>
        <w:tc>
          <w:tcPr>
            <w:tcW w:w="4000" w:type="pct"/>
            <w:gridSpan w:val="2"/>
            <w:tcBorders>
              <w:top w:val="single" w:color="auto" w:sz="4" w:space="0"/>
              <w:left w:val="single" w:color="auto" w:sz="4" w:space="0"/>
              <w:bottom w:val="single" w:color="auto" w:sz="4" w:space="0"/>
              <w:right w:val="single" w:color="auto" w:sz="4" w:space="0"/>
            </w:tcBorders>
            <w:vAlign w:val="center"/>
          </w:tcPr>
          <w:p w14:paraId="4072D0C7">
            <w:pPr>
              <w:pageBreakBefore w:val="0"/>
              <w:kinsoku/>
              <w:wordWrap/>
              <w:overflowPunct/>
              <w:topLinePunct w:val="0"/>
              <w:autoSpaceDE/>
              <w:bidi w:val="0"/>
              <w:snapToGrid w:val="0"/>
              <w:spacing w:line="560" w:lineRule="exact"/>
              <w:ind w:firstLine="200"/>
              <w:jc w:val="center"/>
              <w:rPr>
                <w:rFonts w:ascii="仿宋" w:hAnsi="仿宋" w:eastAsia="仿宋"/>
                <w:b w:val="0"/>
                <w:bCs/>
                <w:color w:val="auto"/>
                <w:sz w:val="32"/>
                <w:szCs w:val="32"/>
              </w:rPr>
            </w:pPr>
          </w:p>
        </w:tc>
      </w:tr>
      <w:tr w14:paraId="07AF6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999" w:type="pct"/>
            <w:tcBorders>
              <w:top w:val="single" w:color="auto" w:sz="4" w:space="0"/>
              <w:left w:val="single" w:color="auto" w:sz="4" w:space="0"/>
              <w:bottom w:val="single" w:color="auto" w:sz="4" w:space="0"/>
              <w:right w:val="single" w:color="auto" w:sz="4" w:space="0"/>
            </w:tcBorders>
            <w:vAlign w:val="center"/>
          </w:tcPr>
          <w:p w14:paraId="76B98043">
            <w:pPr>
              <w:pageBreakBefore w:val="0"/>
              <w:kinsoku/>
              <w:wordWrap/>
              <w:overflowPunct/>
              <w:topLinePunct w:val="0"/>
              <w:autoSpaceDE/>
              <w:bidi w:val="0"/>
              <w:snapToGrid w:val="0"/>
              <w:spacing w:line="560" w:lineRule="exact"/>
              <w:ind w:firstLine="200"/>
              <w:jc w:val="center"/>
              <w:rPr>
                <w:rFonts w:ascii="仿宋" w:hAnsi="仿宋" w:eastAsia="仿宋"/>
                <w:b w:val="0"/>
                <w:bCs/>
                <w:color w:val="auto"/>
                <w:sz w:val="32"/>
                <w:szCs w:val="32"/>
              </w:rPr>
            </w:pPr>
            <w:r>
              <w:rPr>
                <w:rFonts w:hint="eastAsia" w:ascii="仿宋" w:hAnsi="仿宋" w:eastAsia="仿宋"/>
                <w:b w:val="0"/>
                <w:bCs/>
                <w:color w:val="auto"/>
                <w:sz w:val="32"/>
                <w:szCs w:val="32"/>
              </w:rPr>
              <w:t>申报项目</w:t>
            </w:r>
          </w:p>
        </w:tc>
        <w:tc>
          <w:tcPr>
            <w:tcW w:w="4000" w:type="pct"/>
            <w:gridSpan w:val="2"/>
            <w:tcBorders>
              <w:top w:val="single" w:color="auto" w:sz="4" w:space="0"/>
              <w:left w:val="single" w:color="auto" w:sz="4" w:space="0"/>
              <w:bottom w:val="single" w:color="auto" w:sz="4" w:space="0"/>
              <w:right w:val="single" w:color="auto" w:sz="4" w:space="0"/>
            </w:tcBorders>
            <w:vAlign w:val="center"/>
          </w:tcPr>
          <w:p w14:paraId="335E2449">
            <w:pPr>
              <w:pageBreakBefore w:val="0"/>
              <w:kinsoku/>
              <w:wordWrap/>
              <w:overflowPunct/>
              <w:topLinePunct w:val="0"/>
              <w:autoSpaceDE/>
              <w:bidi w:val="0"/>
              <w:snapToGrid w:val="0"/>
              <w:spacing w:line="560" w:lineRule="exact"/>
              <w:ind w:firstLine="200"/>
              <w:jc w:val="center"/>
              <w:rPr>
                <w:rFonts w:ascii="仿宋" w:hAnsi="仿宋" w:eastAsia="仿宋"/>
                <w:b w:val="0"/>
                <w:bCs/>
                <w:color w:val="auto"/>
                <w:sz w:val="32"/>
                <w:szCs w:val="32"/>
              </w:rPr>
            </w:pPr>
          </w:p>
        </w:tc>
      </w:tr>
      <w:tr w14:paraId="08C1A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 w:hRule="atLeast"/>
        </w:trPr>
        <w:tc>
          <w:tcPr>
            <w:tcW w:w="999" w:type="pct"/>
            <w:tcBorders>
              <w:top w:val="single" w:color="auto" w:sz="4" w:space="0"/>
              <w:left w:val="single" w:color="auto" w:sz="4" w:space="0"/>
              <w:bottom w:val="single" w:color="auto" w:sz="4" w:space="0"/>
              <w:right w:val="single" w:color="auto" w:sz="4" w:space="0"/>
            </w:tcBorders>
            <w:vAlign w:val="center"/>
          </w:tcPr>
          <w:p w14:paraId="4B0A74FC">
            <w:pPr>
              <w:pageBreakBefore w:val="0"/>
              <w:kinsoku/>
              <w:wordWrap/>
              <w:overflowPunct/>
              <w:topLinePunct w:val="0"/>
              <w:autoSpaceDE/>
              <w:bidi w:val="0"/>
              <w:snapToGrid w:val="0"/>
              <w:spacing w:line="560" w:lineRule="exact"/>
              <w:ind w:firstLine="200"/>
              <w:jc w:val="center"/>
              <w:rPr>
                <w:rFonts w:ascii="仿宋" w:hAnsi="仿宋" w:eastAsia="仿宋"/>
                <w:b w:val="0"/>
                <w:bCs/>
                <w:color w:val="auto"/>
                <w:sz w:val="32"/>
                <w:szCs w:val="32"/>
              </w:rPr>
            </w:pPr>
            <w:r>
              <w:rPr>
                <w:rFonts w:hint="eastAsia" w:ascii="仿宋" w:hAnsi="仿宋" w:eastAsia="仿宋"/>
                <w:b w:val="0"/>
                <w:bCs/>
                <w:color w:val="auto"/>
                <w:sz w:val="32"/>
                <w:szCs w:val="32"/>
              </w:rPr>
              <w:t>申报资金</w:t>
            </w:r>
          </w:p>
        </w:tc>
        <w:tc>
          <w:tcPr>
            <w:tcW w:w="4000" w:type="pct"/>
            <w:gridSpan w:val="2"/>
            <w:tcBorders>
              <w:top w:val="single" w:color="auto" w:sz="4" w:space="0"/>
              <w:left w:val="single" w:color="auto" w:sz="4" w:space="0"/>
              <w:bottom w:val="single" w:color="auto" w:sz="4" w:space="0"/>
              <w:right w:val="single" w:color="auto" w:sz="4" w:space="0"/>
            </w:tcBorders>
            <w:vAlign w:val="center"/>
          </w:tcPr>
          <w:p w14:paraId="0D871DA0">
            <w:pPr>
              <w:pageBreakBefore w:val="0"/>
              <w:kinsoku/>
              <w:wordWrap/>
              <w:overflowPunct/>
              <w:topLinePunct w:val="0"/>
              <w:autoSpaceDE/>
              <w:bidi w:val="0"/>
              <w:snapToGrid w:val="0"/>
              <w:spacing w:line="560" w:lineRule="exact"/>
              <w:ind w:firstLine="200"/>
              <w:jc w:val="center"/>
              <w:rPr>
                <w:rFonts w:ascii="仿宋" w:hAnsi="仿宋" w:eastAsia="仿宋"/>
                <w:b w:val="0"/>
                <w:bCs/>
                <w:color w:val="auto"/>
                <w:sz w:val="32"/>
                <w:szCs w:val="32"/>
              </w:rPr>
            </w:pPr>
          </w:p>
        </w:tc>
      </w:tr>
      <w:tr w14:paraId="7E97E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3" w:hRule="atLeast"/>
        </w:trPr>
        <w:tc>
          <w:tcPr>
            <w:tcW w:w="999" w:type="pct"/>
            <w:tcBorders>
              <w:top w:val="single" w:color="auto" w:sz="4" w:space="0"/>
              <w:left w:val="single" w:color="auto" w:sz="4" w:space="0"/>
              <w:bottom w:val="single" w:color="auto" w:sz="4" w:space="0"/>
              <w:right w:val="single" w:color="auto" w:sz="4" w:space="0"/>
            </w:tcBorders>
            <w:vAlign w:val="center"/>
          </w:tcPr>
          <w:p w14:paraId="61C26A56">
            <w:pPr>
              <w:pageBreakBefore w:val="0"/>
              <w:kinsoku/>
              <w:wordWrap/>
              <w:overflowPunct/>
              <w:topLinePunct w:val="0"/>
              <w:autoSpaceDE/>
              <w:bidi w:val="0"/>
              <w:snapToGrid w:val="0"/>
              <w:spacing w:line="560" w:lineRule="exact"/>
              <w:jc w:val="center"/>
              <w:rPr>
                <w:rFonts w:ascii="仿宋" w:hAnsi="仿宋" w:eastAsia="仿宋"/>
                <w:b w:val="0"/>
                <w:bCs/>
                <w:color w:val="auto"/>
                <w:sz w:val="32"/>
                <w:szCs w:val="32"/>
              </w:rPr>
            </w:pPr>
            <w:r>
              <w:rPr>
                <w:rFonts w:hint="eastAsia" w:ascii="仿宋" w:hAnsi="仿宋" w:eastAsia="仿宋"/>
                <w:b w:val="0"/>
                <w:bCs/>
                <w:color w:val="auto"/>
                <w:sz w:val="32"/>
                <w:szCs w:val="32"/>
              </w:rPr>
              <w:t>项目实施</w:t>
            </w:r>
          </w:p>
          <w:p w14:paraId="07883A60">
            <w:pPr>
              <w:pageBreakBefore w:val="0"/>
              <w:kinsoku/>
              <w:wordWrap/>
              <w:overflowPunct/>
              <w:topLinePunct w:val="0"/>
              <w:autoSpaceDE/>
              <w:bidi w:val="0"/>
              <w:snapToGrid w:val="0"/>
              <w:spacing w:line="560" w:lineRule="exact"/>
              <w:jc w:val="center"/>
              <w:rPr>
                <w:rFonts w:ascii="仿宋" w:hAnsi="仿宋" w:eastAsia="仿宋"/>
                <w:b w:val="0"/>
                <w:bCs/>
                <w:color w:val="auto"/>
                <w:sz w:val="32"/>
                <w:szCs w:val="32"/>
              </w:rPr>
            </w:pPr>
            <w:r>
              <w:rPr>
                <w:rFonts w:hint="eastAsia" w:ascii="仿宋" w:hAnsi="仿宋" w:eastAsia="仿宋"/>
                <w:b w:val="0"/>
                <w:bCs/>
                <w:color w:val="auto"/>
                <w:sz w:val="32"/>
                <w:szCs w:val="32"/>
              </w:rPr>
              <w:t>情况说明</w:t>
            </w:r>
          </w:p>
        </w:tc>
        <w:tc>
          <w:tcPr>
            <w:tcW w:w="4000" w:type="pct"/>
            <w:gridSpan w:val="2"/>
            <w:tcBorders>
              <w:top w:val="single" w:color="auto" w:sz="4" w:space="0"/>
              <w:left w:val="single" w:color="auto" w:sz="4" w:space="0"/>
              <w:bottom w:val="single" w:color="auto" w:sz="4" w:space="0"/>
              <w:right w:val="single" w:color="auto" w:sz="4" w:space="0"/>
            </w:tcBorders>
            <w:vAlign w:val="center"/>
          </w:tcPr>
          <w:p w14:paraId="0C75BED0">
            <w:pPr>
              <w:pageBreakBefore w:val="0"/>
              <w:kinsoku/>
              <w:wordWrap/>
              <w:overflowPunct/>
              <w:topLinePunct w:val="0"/>
              <w:autoSpaceDE/>
              <w:bidi w:val="0"/>
              <w:snapToGrid w:val="0"/>
              <w:spacing w:line="560" w:lineRule="exact"/>
              <w:ind w:firstLine="200"/>
              <w:jc w:val="center"/>
              <w:rPr>
                <w:rFonts w:ascii="仿宋" w:hAnsi="仿宋" w:eastAsia="仿宋"/>
                <w:b w:val="0"/>
                <w:bCs/>
                <w:color w:val="auto"/>
                <w:sz w:val="32"/>
                <w:szCs w:val="32"/>
              </w:rPr>
            </w:pPr>
          </w:p>
        </w:tc>
      </w:tr>
      <w:tr w14:paraId="6DCB9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trPr>
        <w:tc>
          <w:tcPr>
            <w:tcW w:w="999" w:type="pct"/>
            <w:tcBorders>
              <w:top w:val="single" w:color="auto" w:sz="4" w:space="0"/>
              <w:left w:val="single" w:color="auto" w:sz="4" w:space="0"/>
              <w:bottom w:val="single" w:color="auto" w:sz="4" w:space="0"/>
              <w:right w:val="single" w:color="auto" w:sz="4" w:space="0"/>
            </w:tcBorders>
            <w:vAlign w:val="center"/>
          </w:tcPr>
          <w:p w14:paraId="7965844C">
            <w:pPr>
              <w:pageBreakBefore w:val="0"/>
              <w:kinsoku/>
              <w:wordWrap/>
              <w:overflowPunct/>
              <w:topLinePunct w:val="0"/>
              <w:autoSpaceDE/>
              <w:bidi w:val="0"/>
              <w:snapToGrid w:val="0"/>
              <w:spacing w:line="560" w:lineRule="exact"/>
              <w:ind w:firstLine="200"/>
              <w:jc w:val="center"/>
              <w:rPr>
                <w:rFonts w:ascii="仿宋" w:hAnsi="仿宋" w:eastAsia="仿宋"/>
                <w:b w:val="0"/>
                <w:bCs/>
                <w:color w:val="auto"/>
                <w:sz w:val="32"/>
                <w:szCs w:val="32"/>
              </w:rPr>
            </w:pPr>
            <w:r>
              <w:rPr>
                <w:rFonts w:hint="eastAsia" w:ascii="仿宋" w:hAnsi="仿宋" w:eastAsia="仿宋"/>
                <w:b w:val="0"/>
                <w:bCs/>
                <w:color w:val="auto"/>
                <w:sz w:val="32"/>
                <w:szCs w:val="32"/>
              </w:rPr>
              <w:t>附件材料</w:t>
            </w:r>
          </w:p>
          <w:p w14:paraId="742F5B2F">
            <w:pPr>
              <w:pageBreakBefore w:val="0"/>
              <w:kinsoku/>
              <w:wordWrap/>
              <w:overflowPunct/>
              <w:topLinePunct w:val="0"/>
              <w:autoSpaceDE/>
              <w:bidi w:val="0"/>
              <w:snapToGrid w:val="0"/>
              <w:spacing w:line="560" w:lineRule="exact"/>
              <w:ind w:firstLine="200"/>
              <w:jc w:val="center"/>
              <w:rPr>
                <w:rFonts w:ascii="仿宋" w:hAnsi="仿宋" w:eastAsia="仿宋"/>
                <w:b w:val="0"/>
                <w:bCs/>
                <w:color w:val="auto"/>
                <w:sz w:val="32"/>
                <w:szCs w:val="32"/>
              </w:rPr>
            </w:pPr>
            <w:r>
              <w:rPr>
                <w:rFonts w:hint="eastAsia" w:ascii="仿宋" w:hAnsi="仿宋" w:eastAsia="仿宋"/>
                <w:b w:val="0"/>
                <w:bCs/>
                <w:color w:val="auto"/>
                <w:sz w:val="32"/>
                <w:szCs w:val="32"/>
              </w:rPr>
              <w:t>说  明</w:t>
            </w:r>
          </w:p>
        </w:tc>
        <w:tc>
          <w:tcPr>
            <w:tcW w:w="4000" w:type="pct"/>
            <w:gridSpan w:val="2"/>
            <w:tcBorders>
              <w:top w:val="single" w:color="auto" w:sz="4" w:space="0"/>
              <w:left w:val="single" w:color="auto" w:sz="4" w:space="0"/>
              <w:bottom w:val="single" w:color="auto" w:sz="4" w:space="0"/>
              <w:right w:val="single" w:color="auto" w:sz="4" w:space="0"/>
            </w:tcBorders>
          </w:tcPr>
          <w:p w14:paraId="7D6FDE48">
            <w:pPr>
              <w:pageBreakBefore w:val="0"/>
              <w:kinsoku/>
              <w:wordWrap/>
              <w:overflowPunct/>
              <w:topLinePunct w:val="0"/>
              <w:autoSpaceDE/>
              <w:bidi w:val="0"/>
              <w:snapToGrid w:val="0"/>
              <w:spacing w:line="560" w:lineRule="exact"/>
              <w:ind w:firstLine="200"/>
              <w:rPr>
                <w:rFonts w:ascii="仿宋" w:hAnsi="仿宋" w:eastAsia="仿宋"/>
                <w:b w:val="0"/>
                <w:bCs/>
                <w:color w:val="auto"/>
                <w:sz w:val="32"/>
                <w:szCs w:val="32"/>
              </w:rPr>
            </w:pPr>
          </w:p>
        </w:tc>
      </w:tr>
      <w:tr w14:paraId="6746A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26" w:type="pct"/>
            <w:gridSpan w:val="2"/>
            <w:tcBorders>
              <w:top w:val="single" w:color="auto" w:sz="4" w:space="0"/>
              <w:left w:val="single" w:color="auto" w:sz="4" w:space="0"/>
              <w:bottom w:val="single" w:color="auto" w:sz="4" w:space="0"/>
              <w:right w:val="single" w:color="auto" w:sz="4" w:space="0"/>
            </w:tcBorders>
          </w:tcPr>
          <w:p w14:paraId="7947D646">
            <w:pPr>
              <w:pageBreakBefore w:val="0"/>
              <w:kinsoku/>
              <w:wordWrap/>
              <w:overflowPunct/>
              <w:topLinePunct w:val="0"/>
              <w:autoSpaceDE/>
              <w:bidi w:val="0"/>
              <w:snapToGrid w:val="0"/>
              <w:spacing w:line="560" w:lineRule="exact"/>
              <w:ind w:firstLine="200"/>
              <w:jc w:val="left"/>
              <w:rPr>
                <w:rFonts w:ascii="仿宋" w:hAnsi="仿宋" w:eastAsia="仿宋"/>
                <w:b w:val="0"/>
                <w:bCs/>
                <w:color w:val="auto"/>
                <w:sz w:val="32"/>
                <w:szCs w:val="32"/>
              </w:rPr>
            </w:pPr>
            <w:r>
              <w:rPr>
                <w:rFonts w:hint="eastAsia" w:ascii="仿宋" w:hAnsi="仿宋" w:eastAsia="仿宋"/>
                <w:b w:val="0"/>
                <w:bCs/>
                <w:color w:val="auto"/>
                <w:sz w:val="32"/>
                <w:szCs w:val="32"/>
              </w:rPr>
              <w:t>旗（</w:t>
            </w:r>
            <w:r>
              <w:rPr>
                <w:rFonts w:hint="eastAsia" w:ascii="仿宋" w:hAnsi="仿宋" w:eastAsia="仿宋"/>
                <w:b w:val="0"/>
                <w:bCs/>
                <w:color w:val="auto"/>
                <w:sz w:val="32"/>
                <w:szCs w:val="32"/>
                <w:lang w:eastAsia="zh-CN"/>
              </w:rPr>
              <w:t>区</w:t>
            </w:r>
            <w:r>
              <w:rPr>
                <w:rFonts w:hint="eastAsia" w:ascii="仿宋" w:hAnsi="仿宋" w:eastAsia="仿宋"/>
                <w:b w:val="0"/>
                <w:bCs/>
                <w:color w:val="auto"/>
                <w:sz w:val="32"/>
                <w:szCs w:val="32"/>
              </w:rPr>
              <w:t>）教育体育局审核意见</w:t>
            </w:r>
          </w:p>
        </w:tc>
        <w:tc>
          <w:tcPr>
            <w:tcW w:w="2373" w:type="pct"/>
            <w:tcBorders>
              <w:top w:val="single" w:color="auto" w:sz="4" w:space="0"/>
              <w:left w:val="single" w:color="auto" w:sz="4" w:space="0"/>
              <w:bottom w:val="single" w:color="auto" w:sz="4" w:space="0"/>
              <w:right w:val="single" w:color="auto" w:sz="4" w:space="0"/>
            </w:tcBorders>
          </w:tcPr>
          <w:p w14:paraId="51C88697">
            <w:pPr>
              <w:pageBreakBefore w:val="0"/>
              <w:kinsoku/>
              <w:wordWrap/>
              <w:overflowPunct/>
              <w:topLinePunct w:val="0"/>
              <w:autoSpaceDE/>
              <w:bidi w:val="0"/>
              <w:snapToGrid w:val="0"/>
              <w:spacing w:line="560" w:lineRule="exact"/>
              <w:ind w:firstLine="200"/>
              <w:jc w:val="left"/>
              <w:rPr>
                <w:rFonts w:ascii="仿宋" w:hAnsi="仿宋" w:eastAsia="仿宋"/>
                <w:b w:val="0"/>
                <w:bCs/>
                <w:color w:val="auto"/>
                <w:sz w:val="32"/>
                <w:szCs w:val="32"/>
              </w:rPr>
            </w:pPr>
            <w:r>
              <w:rPr>
                <w:rFonts w:hint="eastAsia" w:ascii="仿宋" w:hAnsi="仿宋" w:eastAsia="仿宋"/>
                <w:b w:val="0"/>
                <w:bCs/>
                <w:color w:val="auto"/>
                <w:sz w:val="32"/>
                <w:szCs w:val="32"/>
              </w:rPr>
              <w:t>旗（</w:t>
            </w:r>
            <w:r>
              <w:rPr>
                <w:rFonts w:hint="eastAsia" w:ascii="仿宋" w:hAnsi="仿宋" w:eastAsia="仿宋"/>
                <w:b w:val="0"/>
                <w:bCs/>
                <w:color w:val="auto"/>
                <w:sz w:val="32"/>
                <w:szCs w:val="32"/>
                <w:lang w:eastAsia="zh-CN"/>
              </w:rPr>
              <w:t>区</w:t>
            </w:r>
            <w:r>
              <w:rPr>
                <w:rFonts w:hint="eastAsia" w:ascii="仿宋" w:hAnsi="仿宋" w:eastAsia="仿宋"/>
                <w:b w:val="0"/>
                <w:bCs/>
                <w:color w:val="auto"/>
                <w:sz w:val="32"/>
                <w:szCs w:val="32"/>
              </w:rPr>
              <w:t>）财政局审核意见</w:t>
            </w:r>
          </w:p>
        </w:tc>
      </w:tr>
      <w:tr w14:paraId="140A2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7" w:hRule="atLeast"/>
        </w:trPr>
        <w:tc>
          <w:tcPr>
            <w:tcW w:w="2626" w:type="pct"/>
            <w:gridSpan w:val="2"/>
            <w:tcBorders>
              <w:top w:val="single" w:color="auto" w:sz="4" w:space="0"/>
              <w:left w:val="single" w:color="auto" w:sz="4" w:space="0"/>
              <w:bottom w:val="single" w:color="auto" w:sz="4" w:space="0"/>
              <w:right w:val="single" w:color="auto" w:sz="4" w:space="0"/>
            </w:tcBorders>
          </w:tcPr>
          <w:p w14:paraId="59A026B8">
            <w:pPr>
              <w:pageBreakBefore w:val="0"/>
              <w:kinsoku/>
              <w:wordWrap/>
              <w:overflowPunct/>
              <w:topLinePunct w:val="0"/>
              <w:autoSpaceDE/>
              <w:bidi w:val="0"/>
              <w:snapToGrid w:val="0"/>
              <w:spacing w:line="560" w:lineRule="exact"/>
              <w:ind w:firstLine="200"/>
              <w:rPr>
                <w:rFonts w:ascii="仿宋" w:hAnsi="仿宋" w:eastAsia="仿宋"/>
                <w:b w:val="0"/>
                <w:bCs/>
                <w:color w:val="auto"/>
                <w:sz w:val="32"/>
                <w:szCs w:val="32"/>
              </w:rPr>
            </w:pPr>
          </w:p>
        </w:tc>
        <w:tc>
          <w:tcPr>
            <w:tcW w:w="2373" w:type="pct"/>
            <w:tcBorders>
              <w:top w:val="single" w:color="auto" w:sz="4" w:space="0"/>
              <w:left w:val="single" w:color="auto" w:sz="4" w:space="0"/>
              <w:bottom w:val="single" w:color="auto" w:sz="4" w:space="0"/>
              <w:right w:val="single" w:color="auto" w:sz="4" w:space="0"/>
            </w:tcBorders>
          </w:tcPr>
          <w:p w14:paraId="53DDECEB">
            <w:pPr>
              <w:pageBreakBefore w:val="0"/>
              <w:kinsoku/>
              <w:wordWrap/>
              <w:overflowPunct/>
              <w:topLinePunct w:val="0"/>
              <w:autoSpaceDE/>
              <w:bidi w:val="0"/>
              <w:snapToGrid w:val="0"/>
              <w:spacing w:line="560" w:lineRule="exact"/>
              <w:ind w:firstLine="200"/>
              <w:rPr>
                <w:rFonts w:ascii="仿宋" w:hAnsi="仿宋" w:eastAsia="仿宋"/>
                <w:b w:val="0"/>
                <w:bCs/>
                <w:color w:val="auto"/>
                <w:sz w:val="32"/>
                <w:szCs w:val="32"/>
              </w:rPr>
            </w:pPr>
          </w:p>
        </w:tc>
      </w:tr>
      <w:tr w14:paraId="1A592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5000" w:type="pct"/>
            <w:gridSpan w:val="3"/>
            <w:tcBorders>
              <w:top w:val="single" w:color="auto" w:sz="4" w:space="0"/>
              <w:left w:val="single" w:color="auto" w:sz="4" w:space="0"/>
              <w:bottom w:val="single" w:color="auto" w:sz="4" w:space="0"/>
              <w:right w:val="single" w:color="auto" w:sz="4" w:space="0"/>
            </w:tcBorders>
            <w:vAlign w:val="center"/>
          </w:tcPr>
          <w:p w14:paraId="3DD5239F">
            <w:pPr>
              <w:pageBreakBefore w:val="0"/>
              <w:kinsoku/>
              <w:wordWrap/>
              <w:overflowPunct/>
              <w:topLinePunct w:val="0"/>
              <w:autoSpaceDE/>
              <w:bidi w:val="0"/>
              <w:snapToGrid w:val="0"/>
              <w:spacing w:line="560" w:lineRule="exact"/>
              <w:ind w:firstLine="200"/>
              <w:jc w:val="center"/>
              <w:rPr>
                <w:rFonts w:ascii="仿宋" w:hAnsi="仿宋" w:eastAsia="仿宋"/>
                <w:b w:val="0"/>
                <w:bCs/>
                <w:color w:val="auto"/>
                <w:sz w:val="32"/>
                <w:szCs w:val="32"/>
              </w:rPr>
            </w:pPr>
            <w:r>
              <w:rPr>
                <w:rFonts w:hint="eastAsia" w:ascii="仿宋" w:hAnsi="仿宋" w:eastAsia="仿宋"/>
                <w:b w:val="0"/>
                <w:bCs/>
                <w:color w:val="auto"/>
                <w:sz w:val="32"/>
                <w:szCs w:val="32"/>
              </w:rPr>
              <w:t>市教育体育局审核意见</w:t>
            </w:r>
          </w:p>
        </w:tc>
      </w:tr>
      <w:tr w14:paraId="32C5C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9" w:hRule="atLeast"/>
        </w:trPr>
        <w:tc>
          <w:tcPr>
            <w:tcW w:w="5000" w:type="pct"/>
            <w:gridSpan w:val="3"/>
            <w:tcBorders>
              <w:top w:val="single" w:color="auto" w:sz="4" w:space="0"/>
              <w:left w:val="single" w:color="auto" w:sz="4" w:space="0"/>
              <w:bottom w:val="single" w:color="auto" w:sz="4" w:space="0"/>
              <w:right w:val="single" w:color="auto" w:sz="4" w:space="0"/>
            </w:tcBorders>
          </w:tcPr>
          <w:p w14:paraId="05B662C3">
            <w:pPr>
              <w:pageBreakBefore w:val="0"/>
              <w:kinsoku/>
              <w:wordWrap/>
              <w:overflowPunct/>
              <w:topLinePunct w:val="0"/>
              <w:autoSpaceDE/>
              <w:bidi w:val="0"/>
              <w:snapToGrid w:val="0"/>
              <w:spacing w:line="240" w:lineRule="auto"/>
              <w:ind w:firstLine="200"/>
              <w:rPr>
                <w:rFonts w:ascii="仿宋" w:hAnsi="仿宋" w:eastAsia="仿宋"/>
                <w:b w:val="0"/>
                <w:bCs/>
                <w:color w:val="auto"/>
                <w:sz w:val="32"/>
                <w:szCs w:val="32"/>
              </w:rPr>
            </w:pPr>
          </w:p>
          <w:p w14:paraId="0A3C02CC">
            <w:pPr>
              <w:pageBreakBefore w:val="0"/>
              <w:kinsoku/>
              <w:wordWrap/>
              <w:overflowPunct/>
              <w:topLinePunct w:val="0"/>
              <w:autoSpaceDE/>
              <w:bidi w:val="0"/>
              <w:snapToGrid w:val="0"/>
              <w:spacing w:line="560" w:lineRule="exact"/>
              <w:ind w:firstLine="200"/>
              <w:rPr>
                <w:rFonts w:ascii="仿宋" w:hAnsi="仿宋" w:eastAsia="仿宋"/>
                <w:b w:val="0"/>
                <w:bCs/>
                <w:color w:val="auto"/>
                <w:sz w:val="32"/>
                <w:szCs w:val="32"/>
              </w:rPr>
            </w:pPr>
          </w:p>
        </w:tc>
      </w:tr>
    </w:tbl>
    <w:p w14:paraId="0AD8307F">
      <w:pPr>
        <w:pStyle w:val="6"/>
        <w:pageBreakBefore w:val="0"/>
        <w:kinsoku/>
        <w:wordWrap/>
        <w:overflowPunct/>
        <w:topLinePunct w:val="0"/>
        <w:autoSpaceDE/>
        <w:bidi w:val="0"/>
        <w:spacing w:after="0" w:line="560" w:lineRule="exact"/>
        <w:ind w:firstLine="200"/>
        <w:rPr>
          <w:rFonts w:ascii="仿宋" w:hAnsi="仿宋" w:eastAsia="仿宋"/>
          <w:b w:val="0"/>
          <w:bCs/>
          <w:color w:val="auto"/>
          <w:sz w:val="32"/>
          <w:szCs w:val="32"/>
        </w:rPr>
      </w:pPr>
    </w:p>
    <w:p w14:paraId="5565FDBC">
      <w:pPr>
        <w:pStyle w:val="6"/>
        <w:pageBreakBefore w:val="0"/>
        <w:kinsoku/>
        <w:wordWrap/>
        <w:overflowPunct/>
        <w:topLinePunct w:val="0"/>
        <w:autoSpaceDE/>
        <w:bidi w:val="0"/>
        <w:spacing w:after="0" w:line="560" w:lineRule="exact"/>
        <w:ind w:firstLine="200"/>
        <w:rPr>
          <w:rFonts w:ascii="仿宋" w:hAnsi="仿宋" w:eastAsia="仿宋"/>
          <w:b w:val="0"/>
          <w:bCs/>
          <w:color w:val="auto"/>
          <w:sz w:val="32"/>
          <w:szCs w:val="32"/>
        </w:rPr>
      </w:pPr>
    </w:p>
    <w:p w14:paraId="4F2EB979">
      <w:pPr>
        <w:pStyle w:val="6"/>
        <w:pageBreakBefore w:val="0"/>
        <w:kinsoku/>
        <w:wordWrap/>
        <w:overflowPunct/>
        <w:topLinePunct w:val="0"/>
        <w:autoSpaceDE/>
        <w:bidi w:val="0"/>
        <w:spacing w:after="0" w:line="560" w:lineRule="exact"/>
        <w:ind w:left="0" w:leftChars="0" w:firstLine="0" w:firstLineChars="0"/>
        <w:rPr>
          <w:rFonts w:hint="eastAsia" w:ascii="仿宋" w:hAnsi="仿宋" w:eastAsia="仿宋"/>
          <w:b w:val="0"/>
          <w:bCs/>
          <w:color w:val="auto"/>
          <w:sz w:val="32"/>
          <w:szCs w:val="32"/>
        </w:rPr>
      </w:pPr>
    </w:p>
    <w:p w14:paraId="33B9C6A5">
      <w:pPr>
        <w:pStyle w:val="6"/>
        <w:pageBreakBefore w:val="0"/>
        <w:kinsoku/>
        <w:wordWrap/>
        <w:overflowPunct/>
        <w:topLinePunct w:val="0"/>
        <w:autoSpaceDE/>
        <w:bidi w:val="0"/>
        <w:spacing w:after="0" w:line="560" w:lineRule="exact"/>
        <w:ind w:left="0" w:leftChars="0" w:firstLine="0" w:firstLineChars="0"/>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附件2</w:t>
      </w:r>
    </w:p>
    <w:p w14:paraId="45D5872C">
      <w:pPr>
        <w:pStyle w:val="6"/>
        <w:keepNext w:val="0"/>
        <w:keepLines w:val="0"/>
        <w:pageBreakBefore w:val="0"/>
        <w:kinsoku/>
        <w:wordWrap/>
        <w:overflowPunct/>
        <w:topLinePunct w:val="0"/>
        <w:autoSpaceDE/>
        <w:autoSpaceDN/>
        <w:bidi w:val="0"/>
        <w:adjustRightInd/>
        <w:snapToGrid/>
        <w:spacing w:beforeAutospacing="0" w:after="0" w:afterAutospacing="0" w:line="560" w:lineRule="exact"/>
        <w:ind w:left="0" w:leftChars="0" w:firstLine="0" w:firstLineChars="0"/>
        <w:textAlignment w:val="auto"/>
        <w:rPr>
          <w:rFonts w:hint="eastAsia" w:ascii="黑体" w:hAnsi="黑体" w:eastAsia="黑体" w:cs="黑体"/>
          <w:b w:val="0"/>
          <w:bCs/>
          <w:color w:val="auto"/>
          <w:sz w:val="32"/>
          <w:szCs w:val="32"/>
        </w:rPr>
      </w:pPr>
    </w:p>
    <w:p w14:paraId="74826CF5">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黑体" w:eastAsia="黑体"/>
          <w:b w:val="0"/>
          <w:bCs/>
          <w:color w:val="auto"/>
          <w:sz w:val="32"/>
          <w:szCs w:val="32"/>
        </w:rPr>
      </w:pPr>
      <w:r>
        <w:rPr>
          <w:rFonts w:hint="eastAsia" w:ascii="方正小标宋简体" w:hAnsi="方正小标宋简体" w:eastAsia="方正小标宋简体" w:cs="方正小标宋简体"/>
          <w:b w:val="0"/>
          <w:bCs/>
          <w:color w:val="auto"/>
          <w:sz w:val="44"/>
          <w:szCs w:val="44"/>
        </w:rPr>
        <w:t>职业教育专项资金项目申报书</w:t>
      </w:r>
    </w:p>
    <w:p w14:paraId="08065F12">
      <w:pPr>
        <w:pStyle w:val="2"/>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黑体" w:eastAsia="黑体"/>
          <w:b w:val="0"/>
          <w:bCs/>
          <w:color w:val="auto"/>
          <w:sz w:val="32"/>
          <w:szCs w:val="32"/>
        </w:rPr>
      </w:pPr>
      <w:r>
        <w:rPr>
          <w:rFonts w:ascii="黑体" w:eastAsia="黑体"/>
          <w:b w:val="0"/>
          <w:bCs/>
          <w:color w:val="auto"/>
          <w:sz w:val="32"/>
          <w:szCs w:val="32"/>
        </w:rPr>
        <w:t>一、项目概况</w:t>
      </w:r>
    </w:p>
    <w:p w14:paraId="4A7B9575">
      <w:pPr>
        <w:pStyle w:val="2"/>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黑体" w:eastAsia="黑体"/>
          <w:b w:val="0"/>
          <w:bCs/>
          <w:color w:val="auto"/>
          <w:sz w:val="32"/>
          <w:szCs w:val="32"/>
        </w:rPr>
      </w:pPr>
      <w:r>
        <w:rPr>
          <w:rFonts w:ascii="黑体" w:eastAsia="黑体"/>
          <w:b w:val="0"/>
          <w:bCs/>
          <w:color w:val="auto"/>
          <w:sz w:val="32"/>
          <w:szCs w:val="32"/>
        </w:rPr>
        <w:t>二、总体目标</w:t>
      </w:r>
    </w:p>
    <w:p w14:paraId="542690F4">
      <w:pPr>
        <w:keepNext w:val="0"/>
        <w:keepLines w:val="0"/>
        <w:pageBreakBefore w:val="0"/>
        <w:kinsoku/>
        <w:wordWrap/>
        <w:overflowPunct/>
        <w:topLinePunct w:val="0"/>
        <w:autoSpaceDE/>
        <w:autoSpaceDN/>
        <w:bidi w:val="0"/>
        <w:adjustRightInd/>
        <w:snapToGrid/>
        <w:spacing w:beforeAutospacing="0" w:afterAutospacing="0" w:line="560" w:lineRule="exact"/>
        <w:ind w:firstLine="627" w:firstLineChars="196"/>
        <w:textAlignment w:val="auto"/>
        <w:rPr>
          <w:rFonts w:ascii="仿宋" w:hAnsi="仿宋" w:eastAsia="仿宋" w:cs="仿宋"/>
          <w:b w:val="0"/>
          <w:bCs/>
          <w:color w:val="auto"/>
          <w:sz w:val="32"/>
          <w:szCs w:val="32"/>
        </w:rPr>
      </w:pPr>
      <w:bookmarkStart w:id="2" w:name="_Toc266768240"/>
      <w:bookmarkStart w:id="3" w:name="_Toc264623091"/>
      <w:bookmarkStart w:id="4" w:name="_Toc264623800"/>
      <w:bookmarkStart w:id="5" w:name="_Toc266774039"/>
      <w:r>
        <w:rPr>
          <w:rFonts w:hint="eastAsia" w:ascii="仿宋" w:hAnsi="仿宋" w:eastAsia="仿宋" w:cs="仿宋"/>
          <w:b w:val="0"/>
          <w:bCs/>
          <w:color w:val="auto"/>
          <w:sz w:val="32"/>
          <w:szCs w:val="32"/>
        </w:rPr>
        <w:t>1.总体建设目标</w:t>
      </w:r>
      <w:bookmarkEnd w:id="2"/>
      <w:bookmarkEnd w:id="3"/>
      <w:bookmarkEnd w:id="4"/>
      <w:bookmarkEnd w:id="5"/>
    </w:p>
    <w:p w14:paraId="2CAC320F">
      <w:pPr>
        <w:keepNext w:val="0"/>
        <w:keepLines w:val="0"/>
        <w:pageBreakBefore w:val="0"/>
        <w:kinsoku/>
        <w:wordWrap/>
        <w:overflowPunct/>
        <w:topLinePunct w:val="0"/>
        <w:autoSpaceDE/>
        <w:autoSpaceDN/>
        <w:bidi w:val="0"/>
        <w:adjustRightInd/>
        <w:snapToGrid/>
        <w:spacing w:beforeAutospacing="0" w:afterAutospacing="0" w:line="560" w:lineRule="exact"/>
        <w:ind w:firstLine="627" w:firstLineChars="196"/>
        <w:textAlignment w:val="auto"/>
        <w:rPr>
          <w:rFonts w:ascii="仿宋" w:hAnsi="仿宋" w:eastAsia="仿宋" w:cs="仿宋"/>
          <w:b w:val="0"/>
          <w:bCs/>
          <w:color w:val="auto"/>
          <w:sz w:val="32"/>
          <w:szCs w:val="32"/>
        </w:rPr>
      </w:pPr>
      <w:r>
        <w:rPr>
          <w:rFonts w:hint="eastAsia" w:ascii="仿宋" w:hAnsi="仿宋" w:eastAsia="仿宋" w:cs="仿宋"/>
          <w:b w:val="0"/>
          <w:bCs/>
          <w:color w:val="auto"/>
          <w:sz w:val="32"/>
          <w:szCs w:val="32"/>
        </w:rPr>
        <w:t>2.项目建设的意义</w:t>
      </w:r>
    </w:p>
    <w:p w14:paraId="10E2FF9C">
      <w:pPr>
        <w:keepNext w:val="0"/>
        <w:keepLines w:val="0"/>
        <w:pageBreakBefore w:val="0"/>
        <w:kinsoku/>
        <w:wordWrap/>
        <w:overflowPunct/>
        <w:topLinePunct w:val="0"/>
        <w:autoSpaceDE/>
        <w:autoSpaceDN/>
        <w:bidi w:val="0"/>
        <w:adjustRightInd/>
        <w:snapToGrid/>
        <w:spacing w:beforeAutospacing="0" w:afterAutospacing="0" w:line="560" w:lineRule="exact"/>
        <w:ind w:firstLine="630" w:firstLineChars="197"/>
        <w:textAlignment w:val="auto"/>
        <w:rPr>
          <w:rFonts w:ascii="仿宋" w:hAnsi="仿宋" w:eastAsia="仿宋" w:cs="仿宋"/>
          <w:b w:val="0"/>
          <w:bCs/>
          <w:color w:val="auto"/>
          <w:sz w:val="32"/>
          <w:szCs w:val="32"/>
        </w:rPr>
      </w:pPr>
      <w:r>
        <w:rPr>
          <w:rFonts w:hint="eastAsia" w:ascii="仿宋" w:hAnsi="仿宋" w:eastAsia="仿宋" w:cs="仿宋"/>
          <w:b w:val="0"/>
          <w:bCs/>
          <w:color w:val="auto"/>
          <w:sz w:val="32"/>
          <w:szCs w:val="32"/>
        </w:rPr>
        <w:t>3.项目建设立项依据及可行性分析</w:t>
      </w:r>
    </w:p>
    <w:p w14:paraId="0C459A53">
      <w:pPr>
        <w:pStyle w:val="2"/>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黑体" w:eastAsia="黑体"/>
          <w:b w:val="0"/>
          <w:bCs/>
          <w:color w:val="auto"/>
          <w:sz w:val="32"/>
          <w:szCs w:val="32"/>
        </w:rPr>
      </w:pPr>
      <w:bookmarkStart w:id="6" w:name="_Toc358282485"/>
      <w:r>
        <w:rPr>
          <w:rFonts w:ascii="黑体" w:eastAsia="黑体"/>
          <w:b w:val="0"/>
          <w:bCs/>
          <w:color w:val="auto"/>
          <w:sz w:val="32"/>
          <w:szCs w:val="32"/>
        </w:rPr>
        <w:t>三、建设内容</w:t>
      </w:r>
      <w:bookmarkEnd w:id="6"/>
    </w:p>
    <w:p w14:paraId="07E5D93B">
      <w:pPr>
        <w:pStyle w:val="2"/>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黑体" w:eastAsia="黑体"/>
          <w:b w:val="0"/>
          <w:bCs/>
          <w:color w:val="auto"/>
          <w:sz w:val="32"/>
          <w:szCs w:val="32"/>
        </w:rPr>
      </w:pPr>
      <w:bookmarkStart w:id="7" w:name="_Toc358282486"/>
      <w:r>
        <w:rPr>
          <w:rFonts w:ascii="黑体" w:eastAsia="黑体"/>
          <w:b w:val="0"/>
          <w:bCs/>
          <w:color w:val="auto"/>
          <w:sz w:val="32"/>
          <w:szCs w:val="32"/>
        </w:rPr>
        <w:t>四、资金预算及主要用途</w:t>
      </w:r>
      <w:bookmarkEnd w:id="7"/>
    </w:p>
    <w:p w14:paraId="443F8BF5">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仿宋" w:hAnsi="仿宋" w:eastAsia="仿宋" w:cs="仿宋"/>
          <w:b w:val="0"/>
          <w:bCs/>
          <w:color w:val="auto"/>
          <w:sz w:val="32"/>
          <w:szCs w:val="32"/>
        </w:rPr>
      </w:pPr>
      <w:r>
        <w:rPr>
          <w:rFonts w:hint="eastAsia" w:ascii="仿宋" w:hAnsi="仿宋" w:eastAsia="仿宋" w:cs="仿宋"/>
          <w:b w:val="0"/>
          <w:bCs/>
          <w:color w:val="auto"/>
          <w:sz w:val="32"/>
          <w:szCs w:val="32"/>
        </w:rPr>
        <w:t>包括资金主要使用范围、资金预算明细、自有资金投入情况，资金主要管理措施、问题分析及对策。</w:t>
      </w:r>
    </w:p>
    <w:p w14:paraId="3D892734">
      <w:pPr>
        <w:pStyle w:val="2"/>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黑体" w:eastAsia="黑体"/>
          <w:b w:val="0"/>
          <w:bCs/>
          <w:color w:val="auto"/>
          <w:sz w:val="32"/>
          <w:szCs w:val="32"/>
        </w:rPr>
      </w:pPr>
      <w:bookmarkStart w:id="8" w:name="_Toc358282487"/>
      <w:r>
        <w:rPr>
          <w:rFonts w:ascii="黑体" w:eastAsia="黑体"/>
          <w:b w:val="0"/>
          <w:bCs/>
          <w:color w:val="auto"/>
          <w:sz w:val="32"/>
          <w:szCs w:val="32"/>
        </w:rPr>
        <w:t>五、项目实施组织及进度安排</w:t>
      </w:r>
      <w:bookmarkEnd w:id="8"/>
    </w:p>
    <w:p w14:paraId="36BD48C5">
      <w:pPr>
        <w:pStyle w:val="2"/>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黑体" w:eastAsia="黑体"/>
          <w:b w:val="0"/>
          <w:bCs/>
          <w:color w:val="auto"/>
          <w:sz w:val="32"/>
          <w:szCs w:val="32"/>
        </w:rPr>
      </w:pPr>
      <w:bookmarkStart w:id="9" w:name="_Toc358282488"/>
      <w:r>
        <w:rPr>
          <w:rFonts w:ascii="黑体" w:eastAsia="黑体"/>
          <w:b w:val="0"/>
          <w:bCs/>
          <w:color w:val="auto"/>
          <w:sz w:val="32"/>
          <w:szCs w:val="32"/>
        </w:rPr>
        <w:t>六、预期效益分析</w:t>
      </w:r>
      <w:bookmarkEnd w:id="9"/>
    </w:p>
    <w:p w14:paraId="34F29C50">
      <w:pPr>
        <w:pStyle w:val="2"/>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黑体" w:eastAsia="黑体"/>
          <w:b w:val="0"/>
          <w:bCs/>
          <w:color w:val="auto"/>
          <w:sz w:val="32"/>
          <w:szCs w:val="32"/>
        </w:rPr>
      </w:pPr>
      <w:bookmarkStart w:id="10" w:name="_Toc358282489"/>
      <w:r>
        <w:rPr>
          <w:rFonts w:ascii="黑体" w:eastAsia="黑体"/>
          <w:b w:val="0"/>
          <w:bCs/>
          <w:color w:val="auto"/>
          <w:sz w:val="32"/>
          <w:szCs w:val="32"/>
        </w:rPr>
        <w:t>七、保障措施</w:t>
      </w:r>
      <w:bookmarkEnd w:id="10"/>
    </w:p>
    <w:p w14:paraId="60B614B4">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仿宋" w:hAnsi="仿宋" w:eastAsia="仿宋" w:cs="仿宋"/>
          <w:b w:val="0"/>
          <w:bCs/>
          <w:color w:val="auto"/>
          <w:sz w:val="32"/>
          <w:szCs w:val="32"/>
        </w:rPr>
      </w:pPr>
      <w:r>
        <w:rPr>
          <w:rFonts w:hint="eastAsia" w:ascii="仿宋" w:hAnsi="仿宋" w:eastAsia="仿宋" w:cs="仿宋"/>
          <w:b w:val="0"/>
          <w:bCs/>
          <w:color w:val="auto"/>
          <w:sz w:val="32"/>
          <w:szCs w:val="32"/>
        </w:rPr>
        <w:t>1.管理机制</w:t>
      </w:r>
    </w:p>
    <w:p w14:paraId="1EA7DF16">
      <w:pPr>
        <w:keepNext w:val="0"/>
        <w:keepLines w:val="0"/>
        <w:pageBreakBefore w:val="0"/>
        <w:kinsoku/>
        <w:wordWrap/>
        <w:overflowPunct/>
        <w:topLinePunct w:val="0"/>
        <w:autoSpaceDE/>
        <w:autoSpaceDN/>
        <w:bidi w:val="0"/>
        <w:adjustRightInd/>
        <w:snapToGrid/>
        <w:spacing w:beforeAutospacing="0" w:afterAutospacing="0" w:line="560" w:lineRule="exact"/>
        <w:ind w:firstLine="627" w:firstLineChars="196"/>
        <w:textAlignment w:val="auto"/>
        <w:rPr>
          <w:rFonts w:ascii="仿宋" w:hAnsi="仿宋" w:eastAsia="仿宋" w:cs="仿宋"/>
          <w:b w:val="0"/>
          <w:bCs/>
          <w:color w:val="auto"/>
          <w:sz w:val="32"/>
          <w:szCs w:val="32"/>
        </w:rPr>
      </w:pPr>
      <w:r>
        <w:rPr>
          <w:rFonts w:hint="eastAsia" w:ascii="仿宋" w:hAnsi="仿宋" w:eastAsia="仿宋" w:cs="仿宋"/>
          <w:b w:val="0"/>
          <w:bCs/>
          <w:color w:val="auto"/>
          <w:sz w:val="32"/>
          <w:szCs w:val="32"/>
        </w:rPr>
        <w:t>2.管理队伍</w:t>
      </w:r>
    </w:p>
    <w:p w14:paraId="656AB36C">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仿宋" w:hAnsi="仿宋" w:eastAsia="仿宋" w:cs="仿宋"/>
          <w:b w:val="0"/>
          <w:bCs/>
          <w:color w:val="auto"/>
          <w:sz w:val="32"/>
          <w:szCs w:val="32"/>
        </w:rPr>
      </w:pPr>
      <w:r>
        <w:rPr>
          <w:rFonts w:hint="eastAsia" w:ascii="仿宋" w:hAnsi="仿宋" w:eastAsia="仿宋" w:cs="仿宋"/>
          <w:b w:val="0"/>
          <w:bCs/>
          <w:color w:val="auto"/>
          <w:sz w:val="32"/>
          <w:szCs w:val="32"/>
        </w:rPr>
        <w:t>3.资金筹措</w:t>
      </w:r>
    </w:p>
    <w:p w14:paraId="450BCF9E">
      <w:pPr>
        <w:keepNext w:val="0"/>
        <w:keepLines w:val="0"/>
        <w:pageBreakBefore w:val="0"/>
        <w:kinsoku/>
        <w:wordWrap/>
        <w:overflowPunct/>
        <w:topLinePunct w:val="0"/>
        <w:autoSpaceDE/>
        <w:autoSpaceDN/>
        <w:bidi w:val="0"/>
        <w:adjustRightInd/>
        <w:snapToGrid/>
        <w:spacing w:beforeAutospacing="0" w:afterAutospacing="0" w:line="560" w:lineRule="exact"/>
        <w:ind w:firstLine="627" w:firstLineChars="196"/>
        <w:textAlignment w:val="auto"/>
        <w:rPr>
          <w:rFonts w:ascii="仿宋" w:hAnsi="仿宋" w:eastAsia="仿宋" w:cs="仿宋"/>
          <w:b w:val="0"/>
          <w:bCs/>
          <w:color w:val="auto"/>
          <w:sz w:val="32"/>
          <w:szCs w:val="32"/>
        </w:rPr>
      </w:pPr>
      <w:r>
        <w:rPr>
          <w:rFonts w:hint="eastAsia" w:ascii="仿宋" w:hAnsi="仿宋" w:eastAsia="仿宋" w:cs="仿宋"/>
          <w:b w:val="0"/>
          <w:bCs/>
          <w:color w:val="auto"/>
          <w:sz w:val="32"/>
          <w:szCs w:val="32"/>
        </w:rPr>
        <w:t>4.政府采购</w:t>
      </w:r>
    </w:p>
    <w:p w14:paraId="5C388833">
      <w:pPr>
        <w:keepNext w:val="0"/>
        <w:keepLines w:val="0"/>
        <w:pageBreakBefore w:val="0"/>
        <w:kinsoku/>
        <w:wordWrap/>
        <w:overflowPunct/>
        <w:topLinePunct w:val="0"/>
        <w:autoSpaceDE/>
        <w:autoSpaceDN/>
        <w:bidi w:val="0"/>
        <w:adjustRightInd/>
        <w:snapToGrid/>
        <w:spacing w:beforeAutospacing="0" w:afterAutospacing="0" w:line="560" w:lineRule="exact"/>
        <w:ind w:firstLine="627" w:firstLineChars="196"/>
        <w:textAlignment w:val="auto"/>
        <w:rPr>
          <w:rFonts w:ascii="仿宋" w:hAnsi="仿宋" w:eastAsia="仿宋" w:cs="仿宋"/>
          <w:b w:val="0"/>
          <w:bCs/>
          <w:color w:val="auto"/>
          <w:sz w:val="32"/>
          <w:szCs w:val="32"/>
        </w:rPr>
      </w:pPr>
      <w:r>
        <w:rPr>
          <w:rFonts w:ascii="Arial" w:hAnsi="Arial" w:eastAsia="仿宋" w:cs="Arial"/>
          <w:b w:val="0"/>
          <w:bCs/>
          <w:color w:val="auto"/>
          <w:sz w:val="32"/>
          <w:szCs w:val="32"/>
        </w:rPr>
        <w:t>……</w:t>
      </w:r>
    </w:p>
    <w:p w14:paraId="26C2AAE8">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ascii="黑体" w:hAnsi="黑体" w:eastAsia="黑体" w:cs="黑体"/>
          <w:b w:val="0"/>
          <w:bCs/>
          <w:color w:val="auto"/>
          <w:sz w:val="32"/>
          <w:szCs w:val="32"/>
        </w:rPr>
      </w:pPr>
      <w:r>
        <w:rPr>
          <w:rFonts w:hint="eastAsia" w:ascii="黑体" w:hAnsi="黑体" w:eastAsia="黑体" w:cs="黑体"/>
          <w:b w:val="0"/>
          <w:bCs/>
          <w:color w:val="auto"/>
          <w:sz w:val="32"/>
          <w:szCs w:val="32"/>
        </w:rPr>
        <w:t xml:space="preserve">八、项目绩效目标 </w:t>
      </w:r>
    </w:p>
    <w:p w14:paraId="3D28803A">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ascii="黑体" w:hAnsi="黑体" w:eastAsia="黑体" w:cs="黑体"/>
          <w:b w:val="0"/>
          <w:bCs/>
          <w:color w:val="auto"/>
          <w:sz w:val="32"/>
          <w:szCs w:val="32"/>
        </w:rPr>
      </w:pPr>
      <w:r>
        <w:rPr>
          <w:rFonts w:hint="eastAsia" w:ascii="黑体" w:hAnsi="黑体" w:eastAsia="黑体" w:cs="黑体"/>
          <w:b w:val="0"/>
          <w:bCs/>
          <w:color w:val="auto"/>
          <w:sz w:val="32"/>
          <w:szCs w:val="32"/>
        </w:rPr>
        <w:t>九、项目论证、佐证材料</w:t>
      </w:r>
    </w:p>
    <w:p w14:paraId="70E522B7">
      <w:pPr>
        <w:pStyle w:val="6"/>
        <w:keepNext w:val="0"/>
        <w:keepLines w:val="0"/>
        <w:pageBreakBefore w:val="0"/>
        <w:kinsoku/>
        <w:wordWrap/>
        <w:overflowPunct/>
        <w:topLinePunct w:val="0"/>
        <w:autoSpaceDE/>
        <w:autoSpaceDN/>
        <w:bidi w:val="0"/>
        <w:adjustRightInd/>
        <w:snapToGrid/>
        <w:spacing w:beforeAutospacing="0" w:after="0" w:afterAutospacing="0" w:line="560" w:lineRule="exact"/>
        <w:ind w:firstLine="200"/>
        <w:textAlignment w:val="auto"/>
        <w:rPr>
          <w:rFonts w:ascii="仿宋" w:hAnsi="仿宋" w:eastAsia="仿宋"/>
          <w:b w:val="0"/>
          <w:bCs/>
          <w:color w:val="auto"/>
          <w:sz w:val="32"/>
          <w:szCs w:val="32"/>
        </w:rPr>
      </w:pPr>
    </w:p>
    <w:p w14:paraId="64CBBAB6">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ascii="仿宋" w:hAnsi="仿宋" w:eastAsia="仿宋"/>
          <w:b w:val="0"/>
          <w:bCs/>
          <w:color w:val="auto"/>
          <w:sz w:val="32"/>
          <w:szCs w:val="32"/>
        </w:rPr>
      </w:pPr>
      <w:r>
        <w:rPr>
          <w:rFonts w:ascii="仿宋" w:hAnsi="仿宋" w:eastAsia="仿宋"/>
          <w:b w:val="0"/>
          <w:bCs/>
          <w:color w:val="auto"/>
          <w:sz w:val="32"/>
          <w:szCs w:val="32"/>
        </w:rPr>
        <w:br w:type="page"/>
      </w:r>
    </w:p>
    <w:p w14:paraId="0B8FFC8C">
      <w:pPr>
        <w:pStyle w:val="6"/>
        <w:pageBreakBefore w:val="0"/>
        <w:kinsoku/>
        <w:wordWrap/>
        <w:overflowPunct/>
        <w:topLinePunct w:val="0"/>
        <w:autoSpaceDE/>
        <w:bidi w:val="0"/>
        <w:spacing w:after="0" w:line="560" w:lineRule="exact"/>
        <w:ind w:left="0" w:leftChars="0" w:firstLine="0" w:firstLineChars="0"/>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附件3</w:t>
      </w:r>
    </w:p>
    <w:tbl>
      <w:tblPr>
        <w:tblStyle w:val="12"/>
        <w:tblW w:w="9096" w:type="dxa"/>
        <w:tblInd w:w="6" w:type="dxa"/>
        <w:tblLayout w:type="fixed"/>
        <w:tblCellMar>
          <w:top w:w="0" w:type="dxa"/>
          <w:left w:w="108" w:type="dxa"/>
          <w:bottom w:w="0" w:type="dxa"/>
          <w:right w:w="108" w:type="dxa"/>
        </w:tblCellMar>
      </w:tblPr>
      <w:tblGrid>
        <w:gridCol w:w="1331"/>
        <w:gridCol w:w="531"/>
        <w:gridCol w:w="1057"/>
        <w:gridCol w:w="352"/>
        <w:gridCol w:w="615"/>
        <w:gridCol w:w="884"/>
        <w:gridCol w:w="1115"/>
        <w:gridCol w:w="1089"/>
        <w:gridCol w:w="975"/>
        <w:gridCol w:w="98"/>
        <w:gridCol w:w="1049"/>
      </w:tblGrid>
      <w:tr w14:paraId="431D0AE1">
        <w:tblPrEx>
          <w:tblCellMar>
            <w:top w:w="0" w:type="dxa"/>
            <w:left w:w="108" w:type="dxa"/>
            <w:bottom w:w="0" w:type="dxa"/>
            <w:right w:w="108" w:type="dxa"/>
          </w:tblCellMar>
        </w:tblPrEx>
        <w:trPr>
          <w:trHeight w:val="1131" w:hRule="atLeast"/>
        </w:trPr>
        <w:tc>
          <w:tcPr>
            <w:tcW w:w="9096" w:type="dxa"/>
            <w:gridSpan w:val="11"/>
            <w:tcBorders>
              <w:bottom w:val="nil"/>
            </w:tcBorders>
            <w:vAlign w:val="center"/>
          </w:tcPr>
          <w:p w14:paraId="4F1A8DCE">
            <w:pPr>
              <w:pageBreakBefore w:val="0"/>
              <w:kinsoku/>
              <w:wordWrap/>
              <w:overflowPunct/>
              <w:topLinePunct w:val="0"/>
              <w:autoSpaceDE/>
              <w:autoSpaceDN w:val="0"/>
              <w:bidi w:val="0"/>
              <w:spacing w:line="560" w:lineRule="exact"/>
              <w:jc w:val="center"/>
              <w:textAlignment w:val="center"/>
              <w:rPr>
                <w:rFonts w:ascii="宋体" w:hAnsi="宋体"/>
                <w:b w:val="0"/>
                <w:bCs/>
                <w:color w:val="auto"/>
                <w:sz w:val="40"/>
              </w:rPr>
            </w:pPr>
            <w:r>
              <w:rPr>
                <w:rFonts w:hint="eastAsia" w:ascii="方正小标宋简体" w:hAnsi="方正小标宋简体" w:eastAsia="方正小标宋简体" w:cs="方正小标宋简体"/>
                <w:b w:val="0"/>
                <w:bCs/>
                <w:color w:val="auto"/>
                <w:sz w:val="44"/>
                <w:szCs w:val="44"/>
              </w:rPr>
              <w:t>财政支出项目绩效目标表</w:t>
            </w:r>
          </w:p>
        </w:tc>
      </w:tr>
      <w:tr w14:paraId="356039A3">
        <w:tblPrEx>
          <w:tblCellMar>
            <w:top w:w="0" w:type="dxa"/>
            <w:left w:w="108" w:type="dxa"/>
            <w:bottom w:w="0" w:type="dxa"/>
            <w:right w:w="108" w:type="dxa"/>
          </w:tblCellMar>
        </w:tblPrEx>
        <w:trPr>
          <w:trHeight w:val="434" w:hRule="atLeast"/>
        </w:trPr>
        <w:tc>
          <w:tcPr>
            <w:tcW w:w="9096" w:type="dxa"/>
            <w:gridSpan w:val="11"/>
            <w:tcBorders>
              <w:top w:val="nil"/>
              <w:bottom w:val="single" w:color="auto" w:sz="4" w:space="0"/>
            </w:tcBorders>
            <w:vAlign w:val="center"/>
          </w:tcPr>
          <w:p w14:paraId="569AE14A">
            <w:pPr>
              <w:pageBreakBefore w:val="0"/>
              <w:kinsoku/>
              <w:wordWrap/>
              <w:overflowPunct/>
              <w:topLinePunct w:val="0"/>
              <w:autoSpaceDE/>
              <w:autoSpaceDN w:val="0"/>
              <w:bidi w:val="0"/>
              <w:spacing w:line="560" w:lineRule="exact"/>
              <w:jc w:val="center"/>
              <w:textAlignment w:val="center"/>
              <w:rPr>
                <w:rFonts w:ascii="宋体" w:hAnsi="宋体"/>
                <w:b w:val="0"/>
                <w:bCs/>
                <w:color w:val="auto"/>
                <w:sz w:val="28"/>
              </w:rPr>
            </w:pPr>
            <w:r>
              <w:rPr>
                <w:rFonts w:hint="eastAsia" w:ascii="宋体" w:hAnsi="宋体" w:cs="宋体"/>
                <w:b w:val="0"/>
                <w:bCs/>
                <w:color w:val="auto"/>
                <w:sz w:val="28"/>
              </w:rPr>
              <w:t>（     年度）</w:t>
            </w:r>
          </w:p>
        </w:tc>
      </w:tr>
      <w:tr w14:paraId="1E5D69E7">
        <w:tblPrEx>
          <w:tblCellMar>
            <w:top w:w="0" w:type="dxa"/>
            <w:left w:w="108" w:type="dxa"/>
            <w:bottom w:w="0" w:type="dxa"/>
            <w:right w:w="108" w:type="dxa"/>
          </w:tblCellMar>
        </w:tblPrEx>
        <w:trPr>
          <w:trHeight w:val="440" w:hRule="atLeast"/>
        </w:trPr>
        <w:tc>
          <w:tcPr>
            <w:tcW w:w="3271" w:type="dxa"/>
            <w:gridSpan w:val="4"/>
            <w:tcBorders>
              <w:top w:val="single" w:color="000000" w:sz="4" w:space="0"/>
              <w:left w:val="single" w:color="000000" w:sz="4" w:space="0"/>
              <w:bottom w:val="single" w:color="000000" w:sz="4" w:space="0"/>
              <w:right w:val="single" w:color="000000" w:sz="4" w:space="0"/>
            </w:tcBorders>
            <w:vAlign w:val="center"/>
          </w:tcPr>
          <w:p w14:paraId="2D0CB2E3">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项目名称</w:t>
            </w:r>
          </w:p>
        </w:tc>
        <w:tc>
          <w:tcPr>
            <w:tcW w:w="5825" w:type="dxa"/>
            <w:gridSpan w:val="7"/>
            <w:tcBorders>
              <w:top w:val="single" w:color="000000" w:sz="4" w:space="0"/>
              <w:left w:val="single" w:color="000000" w:sz="4" w:space="0"/>
              <w:bottom w:val="single" w:color="000000" w:sz="4" w:space="0"/>
              <w:right w:val="single" w:color="000000" w:sz="4" w:space="0"/>
            </w:tcBorders>
            <w:vAlign w:val="center"/>
          </w:tcPr>
          <w:p w14:paraId="05FE7121">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r>
      <w:tr w14:paraId="728A257A">
        <w:tblPrEx>
          <w:tblCellMar>
            <w:top w:w="0" w:type="dxa"/>
            <w:left w:w="108" w:type="dxa"/>
            <w:bottom w:w="0" w:type="dxa"/>
            <w:right w:w="108" w:type="dxa"/>
          </w:tblCellMar>
        </w:tblPrEx>
        <w:trPr>
          <w:trHeight w:val="395" w:hRule="atLeast"/>
        </w:trPr>
        <w:tc>
          <w:tcPr>
            <w:tcW w:w="3271" w:type="dxa"/>
            <w:gridSpan w:val="4"/>
            <w:tcBorders>
              <w:top w:val="single" w:color="000000" w:sz="4" w:space="0"/>
              <w:left w:val="single" w:color="000000" w:sz="4" w:space="0"/>
              <w:bottom w:val="single" w:color="000000" w:sz="4" w:space="0"/>
              <w:right w:val="single" w:color="000000" w:sz="4" w:space="0"/>
            </w:tcBorders>
            <w:vAlign w:val="center"/>
          </w:tcPr>
          <w:p w14:paraId="0B9F1291">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实施单位</w:t>
            </w:r>
          </w:p>
        </w:tc>
        <w:tc>
          <w:tcPr>
            <w:tcW w:w="5825" w:type="dxa"/>
            <w:gridSpan w:val="7"/>
            <w:tcBorders>
              <w:top w:val="single" w:color="000000" w:sz="4" w:space="0"/>
              <w:left w:val="single" w:color="000000" w:sz="4" w:space="0"/>
              <w:bottom w:val="single" w:color="000000" w:sz="4" w:space="0"/>
              <w:right w:val="single" w:color="000000" w:sz="4" w:space="0"/>
            </w:tcBorders>
            <w:vAlign w:val="center"/>
          </w:tcPr>
          <w:p w14:paraId="7CD67EFC">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hint="eastAsia" w:ascii="宋体" w:hAnsi="宋体"/>
                <w:b w:val="0"/>
                <w:bCs/>
                <w:color w:val="auto"/>
                <w:sz w:val="20"/>
              </w:rPr>
              <w:t>（盖章）</w:t>
            </w:r>
          </w:p>
        </w:tc>
      </w:tr>
      <w:tr w14:paraId="43064B78">
        <w:tblPrEx>
          <w:tblCellMar>
            <w:top w:w="0" w:type="dxa"/>
            <w:left w:w="108" w:type="dxa"/>
            <w:bottom w:w="0" w:type="dxa"/>
            <w:right w:w="108" w:type="dxa"/>
          </w:tblCellMar>
        </w:tblPrEx>
        <w:trPr>
          <w:trHeight w:val="360" w:hRule="atLeast"/>
        </w:trPr>
        <w:tc>
          <w:tcPr>
            <w:tcW w:w="3271" w:type="dxa"/>
            <w:gridSpan w:val="4"/>
            <w:tcBorders>
              <w:top w:val="single" w:color="000000" w:sz="4" w:space="0"/>
              <w:left w:val="single" w:color="000000" w:sz="4" w:space="0"/>
              <w:bottom w:val="single" w:color="000000" w:sz="4" w:space="0"/>
              <w:right w:val="single" w:color="000000" w:sz="4" w:space="0"/>
            </w:tcBorders>
            <w:vAlign w:val="center"/>
          </w:tcPr>
          <w:p w14:paraId="1E99DD3B">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项目实施依据</w:t>
            </w:r>
          </w:p>
        </w:tc>
        <w:tc>
          <w:tcPr>
            <w:tcW w:w="5825" w:type="dxa"/>
            <w:gridSpan w:val="7"/>
            <w:tcBorders>
              <w:top w:val="single" w:color="000000" w:sz="4" w:space="0"/>
              <w:left w:val="single" w:color="000000" w:sz="4" w:space="0"/>
              <w:bottom w:val="single" w:color="000000" w:sz="4" w:space="0"/>
              <w:right w:val="single" w:color="000000" w:sz="4" w:space="0"/>
            </w:tcBorders>
            <w:vAlign w:val="center"/>
          </w:tcPr>
          <w:p w14:paraId="17FDBB11">
            <w:pPr>
              <w:keepNext w:val="0"/>
              <w:keepLines w:val="0"/>
              <w:pageBreakBefore w:val="0"/>
              <w:widowControl w:val="0"/>
              <w:kinsoku/>
              <w:wordWrap/>
              <w:overflowPunct/>
              <w:topLinePunct w:val="0"/>
              <w:autoSpaceDE/>
              <w:autoSpaceDN w:val="0"/>
              <w:bidi w:val="0"/>
              <w:adjustRightInd/>
              <w:snapToGrid/>
              <w:spacing w:line="240" w:lineRule="exact"/>
              <w:jc w:val="left"/>
              <w:textAlignment w:val="center"/>
              <w:rPr>
                <w:rFonts w:ascii="宋体" w:hAnsi="宋体"/>
                <w:b w:val="0"/>
                <w:bCs/>
                <w:color w:val="auto"/>
                <w:sz w:val="20"/>
              </w:rPr>
            </w:pPr>
          </w:p>
        </w:tc>
      </w:tr>
      <w:tr w14:paraId="29C95E92">
        <w:tblPrEx>
          <w:tblCellMar>
            <w:top w:w="0" w:type="dxa"/>
            <w:left w:w="108" w:type="dxa"/>
            <w:bottom w:w="0" w:type="dxa"/>
            <w:right w:w="108" w:type="dxa"/>
          </w:tblCellMar>
        </w:tblPrEx>
        <w:trPr>
          <w:trHeight w:val="390" w:hRule="atLeast"/>
        </w:trPr>
        <w:tc>
          <w:tcPr>
            <w:tcW w:w="3271" w:type="dxa"/>
            <w:gridSpan w:val="4"/>
            <w:tcBorders>
              <w:top w:val="single" w:color="000000" w:sz="4" w:space="0"/>
              <w:left w:val="single" w:color="000000" w:sz="4" w:space="0"/>
              <w:bottom w:val="single" w:color="000000" w:sz="4" w:space="0"/>
              <w:right w:val="single" w:color="000000" w:sz="4" w:space="0"/>
            </w:tcBorders>
            <w:vAlign w:val="center"/>
          </w:tcPr>
          <w:p w14:paraId="23C08A2E">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项目属性</w:t>
            </w:r>
          </w:p>
        </w:tc>
        <w:tc>
          <w:tcPr>
            <w:tcW w:w="1499" w:type="dxa"/>
            <w:gridSpan w:val="2"/>
            <w:tcBorders>
              <w:top w:val="single" w:color="000000" w:sz="4" w:space="0"/>
              <w:left w:val="single" w:color="000000" w:sz="4" w:space="0"/>
              <w:bottom w:val="single" w:color="000000" w:sz="4" w:space="0"/>
              <w:right w:val="single" w:color="000000" w:sz="4" w:space="0"/>
            </w:tcBorders>
            <w:vAlign w:val="center"/>
          </w:tcPr>
          <w:p w14:paraId="3509B6F1">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3179" w:type="dxa"/>
            <w:gridSpan w:val="3"/>
            <w:tcBorders>
              <w:top w:val="single" w:color="000000" w:sz="4" w:space="0"/>
              <w:left w:val="single" w:color="000000" w:sz="4" w:space="0"/>
              <w:bottom w:val="single" w:color="000000" w:sz="4" w:space="0"/>
              <w:right w:val="single" w:color="000000" w:sz="4" w:space="0"/>
            </w:tcBorders>
            <w:vAlign w:val="center"/>
          </w:tcPr>
          <w:p w14:paraId="543EC26A">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项目期</w:t>
            </w:r>
          </w:p>
        </w:tc>
        <w:tc>
          <w:tcPr>
            <w:tcW w:w="1147" w:type="dxa"/>
            <w:gridSpan w:val="2"/>
            <w:tcBorders>
              <w:top w:val="single" w:color="000000" w:sz="4" w:space="0"/>
              <w:left w:val="single" w:color="000000" w:sz="4" w:space="0"/>
              <w:bottom w:val="single" w:color="000000" w:sz="4" w:space="0"/>
              <w:right w:val="single" w:color="000000" w:sz="4" w:space="0"/>
            </w:tcBorders>
            <w:vAlign w:val="center"/>
          </w:tcPr>
          <w:p w14:paraId="7B66B725">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r>
      <w:tr w14:paraId="3F2F31D2">
        <w:tblPrEx>
          <w:tblCellMar>
            <w:top w:w="0" w:type="dxa"/>
            <w:left w:w="108" w:type="dxa"/>
            <w:bottom w:w="0" w:type="dxa"/>
            <w:right w:w="108" w:type="dxa"/>
          </w:tblCellMar>
        </w:tblPrEx>
        <w:trPr>
          <w:trHeight w:val="390" w:hRule="atLeast"/>
        </w:trPr>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19C14476">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项目资金（万元）</w:t>
            </w:r>
          </w:p>
        </w:tc>
        <w:tc>
          <w:tcPr>
            <w:tcW w:w="1940" w:type="dxa"/>
            <w:gridSpan w:val="3"/>
            <w:tcBorders>
              <w:top w:val="single" w:color="000000" w:sz="4" w:space="0"/>
              <w:left w:val="single" w:color="000000" w:sz="4" w:space="0"/>
              <w:bottom w:val="single" w:color="000000" w:sz="4" w:space="0"/>
              <w:right w:val="single" w:color="000000" w:sz="4" w:space="0"/>
            </w:tcBorders>
            <w:vAlign w:val="center"/>
          </w:tcPr>
          <w:p w14:paraId="4BA5FF08">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实施期资金总额</w:t>
            </w:r>
          </w:p>
        </w:tc>
        <w:tc>
          <w:tcPr>
            <w:tcW w:w="1499" w:type="dxa"/>
            <w:gridSpan w:val="2"/>
            <w:tcBorders>
              <w:top w:val="single" w:color="000000" w:sz="4" w:space="0"/>
              <w:left w:val="single" w:color="000000" w:sz="4" w:space="0"/>
              <w:bottom w:val="single" w:color="000000" w:sz="4" w:space="0"/>
              <w:right w:val="single" w:color="000000" w:sz="4" w:space="0"/>
            </w:tcBorders>
            <w:vAlign w:val="center"/>
          </w:tcPr>
          <w:p w14:paraId="4989B0F4">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115" w:type="dxa"/>
            <w:vMerge w:val="restart"/>
            <w:tcBorders>
              <w:top w:val="single" w:color="000000" w:sz="4" w:space="0"/>
              <w:left w:val="single" w:color="000000" w:sz="4" w:space="0"/>
              <w:bottom w:val="single" w:color="000000" w:sz="4" w:space="0"/>
              <w:right w:val="single" w:color="000000" w:sz="4" w:space="0"/>
            </w:tcBorders>
            <w:vAlign w:val="center"/>
          </w:tcPr>
          <w:p w14:paraId="0149CDFB">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项目资金（万元）</w:t>
            </w:r>
          </w:p>
        </w:tc>
        <w:tc>
          <w:tcPr>
            <w:tcW w:w="2064" w:type="dxa"/>
            <w:gridSpan w:val="2"/>
            <w:tcBorders>
              <w:top w:val="single" w:color="000000" w:sz="4" w:space="0"/>
              <w:left w:val="single" w:color="000000" w:sz="4" w:space="0"/>
              <w:bottom w:val="single" w:color="000000" w:sz="4" w:space="0"/>
              <w:right w:val="single" w:color="000000" w:sz="4" w:space="0"/>
            </w:tcBorders>
            <w:vAlign w:val="center"/>
          </w:tcPr>
          <w:p w14:paraId="7A3CF3D1">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年度资金总额</w:t>
            </w:r>
          </w:p>
        </w:tc>
        <w:tc>
          <w:tcPr>
            <w:tcW w:w="1147" w:type="dxa"/>
            <w:gridSpan w:val="2"/>
            <w:tcBorders>
              <w:top w:val="single" w:color="000000" w:sz="4" w:space="0"/>
              <w:left w:val="single" w:color="000000" w:sz="4" w:space="0"/>
              <w:bottom w:val="single" w:color="000000" w:sz="4" w:space="0"/>
              <w:right w:val="single" w:color="000000" w:sz="4" w:space="0"/>
            </w:tcBorders>
            <w:vAlign w:val="center"/>
          </w:tcPr>
          <w:p w14:paraId="784CDA8A">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r>
      <w:tr w14:paraId="0D297691">
        <w:tblPrEx>
          <w:tblCellMar>
            <w:top w:w="0" w:type="dxa"/>
            <w:left w:w="108" w:type="dxa"/>
            <w:bottom w:w="0" w:type="dxa"/>
            <w:right w:w="108" w:type="dxa"/>
          </w:tblCellMar>
        </w:tblPrEx>
        <w:trPr>
          <w:trHeight w:val="390" w:hRule="atLeast"/>
        </w:trPr>
        <w:tc>
          <w:tcPr>
            <w:tcW w:w="1331" w:type="dxa"/>
            <w:vMerge w:val="continue"/>
            <w:tcBorders>
              <w:top w:val="single" w:color="000000" w:sz="4" w:space="0"/>
              <w:left w:val="single" w:color="000000" w:sz="4" w:space="0"/>
              <w:bottom w:val="single" w:color="000000" w:sz="4" w:space="0"/>
              <w:right w:val="single" w:color="000000" w:sz="4" w:space="0"/>
            </w:tcBorders>
            <w:vAlign w:val="center"/>
          </w:tcPr>
          <w:p w14:paraId="02C3FA4B">
            <w:pPr>
              <w:keepNext w:val="0"/>
              <w:keepLines w:val="0"/>
              <w:pageBreakBefore w:val="0"/>
              <w:widowControl w:val="0"/>
              <w:kinsoku/>
              <w:wordWrap/>
              <w:overflowPunct/>
              <w:topLinePunct w:val="0"/>
              <w:autoSpaceDE/>
              <w:bidi w:val="0"/>
              <w:adjustRightInd/>
              <w:snapToGrid/>
              <w:spacing w:line="240" w:lineRule="exact"/>
              <w:rPr>
                <w:b w:val="0"/>
                <w:bCs/>
                <w:color w:val="auto"/>
              </w:rPr>
            </w:pPr>
          </w:p>
        </w:tc>
        <w:tc>
          <w:tcPr>
            <w:tcW w:w="1940" w:type="dxa"/>
            <w:gridSpan w:val="3"/>
            <w:tcBorders>
              <w:top w:val="single" w:color="000000" w:sz="4" w:space="0"/>
              <w:left w:val="single" w:color="000000" w:sz="4" w:space="0"/>
              <w:bottom w:val="single" w:color="000000" w:sz="4" w:space="0"/>
              <w:right w:val="single" w:color="000000" w:sz="4" w:space="0"/>
            </w:tcBorders>
            <w:vAlign w:val="center"/>
          </w:tcPr>
          <w:p w14:paraId="787D1C06">
            <w:pPr>
              <w:keepNext w:val="0"/>
              <w:keepLines w:val="0"/>
              <w:pageBreakBefore w:val="0"/>
              <w:widowControl w:val="0"/>
              <w:kinsoku/>
              <w:wordWrap/>
              <w:overflowPunct/>
              <w:topLinePunct w:val="0"/>
              <w:autoSpaceDE/>
              <w:autoSpaceDN w:val="0"/>
              <w:bidi w:val="0"/>
              <w:adjustRightInd/>
              <w:snapToGrid/>
              <w:spacing w:line="240" w:lineRule="exact"/>
              <w:jc w:val="left"/>
              <w:textAlignment w:val="center"/>
              <w:rPr>
                <w:rFonts w:ascii="宋体" w:hAnsi="宋体"/>
                <w:b w:val="0"/>
                <w:bCs/>
                <w:color w:val="auto"/>
                <w:sz w:val="20"/>
              </w:rPr>
            </w:pPr>
            <w:r>
              <w:rPr>
                <w:rFonts w:ascii="宋体" w:hAnsi="宋体"/>
                <w:b w:val="0"/>
                <w:bCs/>
                <w:color w:val="auto"/>
                <w:sz w:val="20"/>
              </w:rPr>
              <w:t xml:space="preserve">  其中：财政拨款</w:t>
            </w:r>
          </w:p>
        </w:tc>
        <w:tc>
          <w:tcPr>
            <w:tcW w:w="1499" w:type="dxa"/>
            <w:gridSpan w:val="2"/>
            <w:tcBorders>
              <w:top w:val="single" w:color="000000" w:sz="4" w:space="0"/>
              <w:left w:val="single" w:color="000000" w:sz="4" w:space="0"/>
              <w:bottom w:val="single" w:color="000000" w:sz="4" w:space="0"/>
              <w:right w:val="single" w:color="000000" w:sz="4" w:space="0"/>
            </w:tcBorders>
            <w:vAlign w:val="center"/>
          </w:tcPr>
          <w:p w14:paraId="37C05B46">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115" w:type="dxa"/>
            <w:vMerge w:val="continue"/>
            <w:tcBorders>
              <w:top w:val="single" w:color="000000" w:sz="4" w:space="0"/>
              <w:left w:val="single" w:color="000000" w:sz="4" w:space="0"/>
              <w:bottom w:val="single" w:color="000000" w:sz="4" w:space="0"/>
              <w:right w:val="single" w:color="000000" w:sz="4" w:space="0"/>
            </w:tcBorders>
            <w:vAlign w:val="center"/>
          </w:tcPr>
          <w:p w14:paraId="6687DFD8">
            <w:pPr>
              <w:keepNext w:val="0"/>
              <w:keepLines w:val="0"/>
              <w:pageBreakBefore w:val="0"/>
              <w:widowControl w:val="0"/>
              <w:kinsoku/>
              <w:wordWrap/>
              <w:overflowPunct/>
              <w:topLinePunct w:val="0"/>
              <w:autoSpaceDE/>
              <w:bidi w:val="0"/>
              <w:adjustRightInd/>
              <w:snapToGrid/>
              <w:spacing w:line="240" w:lineRule="exact"/>
              <w:rPr>
                <w:b w:val="0"/>
                <w:bCs/>
                <w:color w:val="auto"/>
              </w:rPr>
            </w:pPr>
          </w:p>
        </w:tc>
        <w:tc>
          <w:tcPr>
            <w:tcW w:w="2064" w:type="dxa"/>
            <w:gridSpan w:val="2"/>
            <w:tcBorders>
              <w:top w:val="single" w:color="000000" w:sz="4" w:space="0"/>
              <w:left w:val="single" w:color="000000" w:sz="4" w:space="0"/>
              <w:bottom w:val="single" w:color="000000" w:sz="4" w:space="0"/>
              <w:right w:val="single" w:color="000000" w:sz="4" w:space="0"/>
            </w:tcBorders>
            <w:vAlign w:val="center"/>
          </w:tcPr>
          <w:p w14:paraId="14968B13">
            <w:pPr>
              <w:keepNext w:val="0"/>
              <w:keepLines w:val="0"/>
              <w:pageBreakBefore w:val="0"/>
              <w:widowControl w:val="0"/>
              <w:kinsoku/>
              <w:wordWrap/>
              <w:overflowPunct/>
              <w:topLinePunct w:val="0"/>
              <w:autoSpaceDE/>
              <w:autoSpaceDN w:val="0"/>
              <w:bidi w:val="0"/>
              <w:adjustRightInd/>
              <w:snapToGrid/>
              <w:spacing w:line="240" w:lineRule="exact"/>
              <w:jc w:val="left"/>
              <w:textAlignment w:val="center"/>
              <w:rPr>
                <w:rFonts w:ascii="宋体" w:hAnsi="宋体"/>
                <w:b w:val="0"/>
                <w:bCs/>
                <w:color w:val="auto"/>
                <w:sz w:val="20"/>
              </w:rPr>
            </w:pPr>
            <w:r>
              <w:rPr>
                <w:rFonts w:ascii="宋体" w:hAnsi="宋体"/>
                <w:b w:val="0"/>
                <w:bCs/>
                <w:color w:val="auto"/>
                <w:sz w:val="20"/>
              </w:rPr>
              <w:t xml:space="preserve">  其中：财政拨款</w:t>
            </w:r>
          </w:p>
        </w:tc>
        <w:tc>
          <w:tcPr>
            <w:tcW w:w="1147" w:type="dxa"/>
            <w:gridSpan w:val="2"/>
            <w:tcBorders>
              <w:top w:val="single" w:color="000000" w:sz="4" w:space="0"/>
              <w:left w:val="single" w:color="000000" w:sz="4" w:space="0"/>
              <w:bottom w:val="single" w:color="000000" w:sz="4" w:space="0"/>
              <w:right w:val="single" w:color="000000" w:sz="4" w:space="0"/>
            </w:tcBorders>
            <w:vAlign w:val="center"/>
          </w:tcPr>
          <w:p w14:paraId="12971D6F">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r>
      <w:tr w14:paraId="51741CB8">
        <w:tblPrEx>
          <w:tblCellMar>
            <w:top w:w="0" w:type="dxa"/>
            <w:left w:w="108" w:type="dxa"/>
            <w:bottom w:w="0" w:type="dxa"/>
            <w:right w:w="108" w:type="dxa"/>
          </w:tblCellMar>
        </w:tblPrEx>
        <w:trPr>
          <w:trHeight w:val="390" w:hRule="atLeast"/>
        </w:trPr>
        <w:tc>
          <w:tcPr>
            <w:tcW w:w="1331" w:type="dxa"/>
            <w:vMerge w:val="continue"/>
            <w:tcBorders>
              <w:top w:val="single" w:color="000000" w:sz="4" w:space="0"/>
              <w:left w:val="single" w:color="000000" w:sz="4" w:space="0"/>
              <w:bottom w:val="single" w:color="000000" w:sz="4" w:space="0"/>
              <w:right w:val="single" w:color="000000" w:sz="4" w:space="0"/>
            </w:tcBorders>
            <w:vAlign w:val="center"/>
          </w:tcPr>
          <w:p w14:paraId="68503B81">
            <w:pPr>
              <w:keepNext w:val="0"/>
              <w:keepLines w:val="0"/>
              <w:pageBreakBefore w:val="0"/>
              <w:widowControl w:val="0"/>
              <w:kinsoku/>
              <w:wordWrap/>
              <w:overflowPunct/>
              <w:topLinePunct w:val="0"/>
              <w:autoSpaceDE/>
              <w:bidi w:val="0"/>
              <w:adjustRightInd/>
              <w:snapToGrid/>
              <w:spacing w:line="240" w:lineRule="exact"/>
              <w:rPr>
                <w:b w:val="0"/>
                <w:bCs/>
                <w:color w:val="auto"/>
              </w:rPr>
            </w:pPr>
          </w:p>
        </w:tc>
        <w:tc>
          <w:tcPr>
            <w:tcW w:w="1940" w:type="dxa"/>
            <w:gridSpan w:val="3"/>
            <w:tcBorders>
              <w:top w:val="single" w:color="000000" w:sz="4" w:space="0"/>
              <w:left w:val="single" w:color="000000" w:sz="4" w:space="0"/>
              <w:bottom w:val="single" w:color="000000" w:sz="4" w:space="0"/>
              <w:right w:val="single" w:color="000000" w:sz="4" w:space="0"/>
            </w:tcBorders>
            <w:vAlign w:val="center"/>
          </w:tcPr>
          <w:p w14:paraId="1122AA74">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 xml:space="preserve">     </w:t>
            </w:r>
            <w:r>
              <w:rPr>
                <w:rFonts w:hint="eastAsia" w:ascii="宋体" w:hAnsi="宋体"/>
                <w:b w:val="0"/>
                <w:bCs/>
                <w:color w:val="auto"/>
                <w:sz w:val="20"/>
              </w:rPr>
              <w:t xml:space="preserve">  </w:t>
            </w:r>
            <w:r>
              <w:rPr>
                <w:rFonts w:ascii="宋体" w:hAnsi="宋体"/>
                <w:b w:val="0"/>
                <w:bCs/>
                <w:color w:val="auto"/>
                <w:sz w:val="20"/>
              </w:rPr>
              <w:t>其他资金</w:t>
            </w:r>
          </w:p>
        </w:tc>
        <w:tc>
          <w:tcPr>
            <w:tcW w:w="1499" w:type="dxa"/>
            <w:gridSpan w:val="2"/>
            <w:tcBorders>
              <w:top w:val="single" w:color="000000" w:sz="4" w:space="0"/>
              <w:left w:val="single" w:color="000000" w:sz="4" w:space="0"/>
              <w:bottom w:val="single" w:color="000000" w:sz="4" w:space="0"/>
              <w:right w:val="single" w:color="000000" w:sz="4" w:space="0"/>
            </w:tcBorders>
            <w:vAlign w:val="center"/>
          </w:tcPr>
          <w:p w14:paraId="5BA32206">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115" w:type="dxa"/>
            <w:vMerge w:val="continue"/>
            <w:tcBorders>
              <w:top w:val="single" w:color="000000" w:sz="4" w:space="0"/>
              <w:left w:val="single" w:color="000000" w:sz="4" w:space="0"/>
              <w:bottom w:val="single" w:color="000000" w:sz="4" w:space="0"/>
              <w:right w:val="single" w:color="000000" w:sz="4" w:space="0"/>
            </w:tcBorders>
            <w:vAlign w:val="center"/>
          </w:tcPr>
          <w:p w14:paraId="5F8D259F">
            <w:pPr>
              <w:keepNext w:val="0"/>
              <w:keepLines w:val="0"/>
              <w:pageBreakBefore w:val="0"/>
              <w:widowControl w:val="0"/>
              <w:kinsoku/>
              <w:wordWrap/>
              <w:overflowPunct/>
              <w:topLinePunct w:val="0"/>
              <w:autoSpaceDE/>
              <w:bidi w:val="0"/>
              <w:adjustRightInd/>
              <w:snapToGrid/>
              <w:spacing w:line="240" w:lineRule="exact"/>
              <w:rPr>
                <w:b w:val="0"/>
                <w:bCs/>
                <w:color w:val="auto"/>
              </w:rPr>
            </w:pPr>
          </w:p>
        </w:tc>
        <w:tc>
          <w:tcPr>
            <w:tcW w:w="2064" w:type="dxa"/>
            <w:gridSpan w:val="2"/>
            <w:tcBorders>
              <w:top w:val="single" w:color="000000" w:sz="4" w:space="0"/>
              <w:left w:val="single" w:color="000000" w:sz="4" w:space="0"/>
              <w:bottom w:val="single" w:color="000000" w:sz="4" w:space="0"/>
              <w:right w:val="single" w:color="000000" w:sz="4" w:space="0"/>
            </w:tcBorders>
            <w:vAlign w:val="center"/>
          </w:tcPr>
          <w:p w14:paraId="27E48343">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 xml:space="preserve">     </w:t>
            </w:r>
            <w:r>
              <w:rPr>
                <w:rFonts w:hint="eastAsia" w:ascii="宋体" w:hAnsi="宋体"/>
                <w:b w:val="0"/>
                <w:bCs/>
                <w:color w:val="auto"/>
                <w:sz w:val="20"/>
              </w:rPr>
              <w:t xml:space="preserve"> </w:t>
            </w:r>
            <w:r>
              <w:rPr>
                <w:rFonts w:ascii="宋体" w:hAnsi="宋体"/>
                <w:b w:val="0"/>
                <w:bCs/>
                <w:color w:val="auto"/>
                <w:sz w:val="20"/>
              </w:rPr>
              <w:t>其他资金</w:t>
            </w:r>
          </w:p>
        </w:tc>
        <w:tc>
          <w:tcPr>
            <w:tcW w:w="1147" w:type="dxa"/>
            <w:gridSpan w:val="2"/>
            <w:tcBorders>
              <w:top w:val="single" w:color="000000" w:sz="4" w:space="0"/>
              <w:left w:val="single" w:color="000000" w:sz="4" w:space="0"/>
              <w:bottom w:val="single" w:color="000000" w:sz="4" w:space="0"/>
              <w:right w:val="single" w:color="000000" w:sz="4" w:space="0"/>
            </w:tcBorders>
            <w:vAlign w:val="center"/>
          </w:tcPr>
          <w:p w14:paraId="2A0DE225">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r>
      <w:tr w14:paraId="45175B58">
        <w:tblPrEx>
          <w:tblCellMar>
            <w:top w:w="0" w:type="dxa"/>
            <w:left w:w="108" w:type="dxa"/>
            <w:bottom w:w="0" w:type="dxa"/>
            <w:right w:w="108" w:type="dxa"/>
          </w:tblCellMar>
        </w:tblPrEx>
        <w:trPr>
          <w:trHeight w:val="510" w:hRule="atLeast"/>
        </w:trPr>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730213D9">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总</w:t>
            </w:r>
            <w:r>
              <w:rPr>
                <w:rFonts w:ascii="宋体" w:hAnsi="宋体"/>
                <w:b w:val="0"/>
                <w:bCs/>
                <w:color w:val="auto"/>
                <w:sz w:val="20"/>
              </w:rPr>
              <w:br w:type="textWrapping"/>
            </w:r>
            <w:r>
              <w:rPr>
                <w:rFonts w:ascii="宋体" w:hAnsi="宋体"/>
                <w:b w:val="0"/>
                <w:bCs/>
                <w:color w:val="auto"/>
                <w:sz w:val="20"/>
              </w:rPr>
              <w:t>体</w:t>
            </w:r>
            <w:r>
              <w:rPr>
                <w:rFonts w:ascii="宋体" w:hAnsi="宋体"/>
                <w:b w:val="0"/>
                <w:bCs/>
                <w:color w:val="auto"/>
                <w:sz w:val="20"/>
              </w:rPr>
              <w:br w:type="textWrapping"/>
            </w:r>
            <w:r>
              <w:rPr>
                <w:rFonts w:ascii="宋体" w:hAnsi="宋体"/>
                <w:b w:val="0"/>
                <w:bCs/>
                <w:color w:val="auto"/>
                <w:sz w:val="20"/>
              </w:rPr>
              <w:t>目</w:t>
            </w:r>
            <w:r>
              <w:rPr>
                <w:rFonts w:ascii="宋体" w:hAnsi="宋体"/>
                <w:b w:val="0"/>
                <w:bCs/>
                <w:color w:val="auto"/>
                <w:sz w:val="20"/>
              </w:rPr>
              <w:br w:type="textWrapping"/>
            </w:r>
            <w:r>
              <w:rPr>
                <w:rFonts w:ascii="宋体" w:hAnsi="宋体"/>
                <w:b w:val="0"/>
                <w:bCs/>
                <w:color w:val="auto"/>
                <w:sz w:val="20"/>
              </w:rPr>
              <w:t>标</w:t>
            </w:r>
          </w:p>
        </w:tc>
        <w:tc>
          <w:tcPr>
            <w:tcW w:w="3439" w:type="dxa"/>
            <w:gridSpan w:val="5"/>
            <w:tcBorders>
              <w:top w:val="single" w:color="000000" w:sz="4" w:space="0"/>
              <w:left w:val="single" w:color="000000" w:sz="4" w:space="0"/>
              <w:bottom w:val="single" w:color="000000" w:sz="4" w:space="0"/>
              <w:right w:val="single" w:color="000000" w:sz="4" w:space="0"/>
            </w:tcBorders>
            <w:vAlign w:val="center"/>
          </w:tcPr>
          <w:p w14:paraId="393F2C13">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hint="eastAsia" w:ascii="宋体" w:hAnsi="宋体"/>
                <w:b w:val="0"/>
                <w:bCs/>
                <w:color w:val="auto"/>
                <w:sz w:val="20"/>
              </w:rPr>
              <w:t xml:space="preserve">  整体绩效</w:t>
            </w:r>
            <w:r>
              <w:rPr>
                <w:rFonts w:ascii="宋体" w:hAnsi="宋体"/>
                <w:b w:val="0"/>
                <w:bCs/>
                <w:color w:val="auto"/>
                <w:sz w:val="20"/>
              </w:rPr>
              <w:t>目标</w:t>
            </w:r>
          </w:p>
        </w:tc>
        <w:tc>
          <w:tcPr>
            <w:tcW w:w="4326" w:type="dxa"/>
            <w:gridSpan w:val="5"/>
            <w:tcBorders>
              <w:top w:val="single" w:color="000000" w:sz="4" w:space="0"/>
              <w:left w:val="single" w:color="000000" w:sz="4" w:space="0"/>
              <w:bottom w:val="single" w:color="000000" w:sz="4" w:space="0"/>
              <w:right w:val="single" w:color="000000" w:sz="4" w:space="0"/>
            </w:tcBorders>
            <w:vAlign w:val="center"/>
          </w:tcPr>
          <w:p w14:paraId="70E24B6A">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年度</w:t>
            </w:r>
            <w:r>
              <w:rPr>
                <w:rFonts w:hint="eastAsia" w:ascii="宋体" w:hAnsi="宋体"/>
                <w:b w:val="0"/>
                <w:bCs/>
                <w:color w:val="auto"/>
                <w:sz w:val="20"/>
              </w:rPr>
              <w:t>绩效</w:t>
            </w:r>
            <w:r>
              <w:rPr>
                <w:rFonts w:ascii="宋体" w:hAnsi="宋体"/>
                <w:b w:val="0"/>
                <w:bCs/>
                <w:color w:val="auto"/>
                <w:sz w:val="20"/>
              </w:rPr>
              <w:t>目标</w:t>
            </w:r>
          </w:p>
        </w:tc>
      </w:tr>
      <w:tr w14:paraId="227E0327">
        <w:tblPrEx>
          <w:tblCellMar>
            <w:top w:w="0" w:type="dxa"/>
            <w:left w:w="108" w:type="dxa"/>
            <w:bottom w:w="0" w:type="dxa"/>
            <w:right w:w="108" w:type="dxa"/>
          </w:tblCellMar>
        </w:tblPrEx>
        <w:trPr>
          <w:trHeight w:val="555" w:hRule="atLeast"/>
        </w:trPr>
        <w:tc>
          <w:tcPr>
            <w:tcW w:w="1331" w:type="dxa"/>
            <w:vMerge w:val="continue"/>
            <w:tcBorders>
              <w:top w:val="single" w:color="000000" w:sz="4" w:space="0"/>
              <w:left w:val="single" w:color="000000" w:sz="4" w:space="0"/>
              <w:bottom w:val="single" w:color="000000" w:sz="4" w:space="0"/>
              <w:right w:val="single" w:color="000000" w:sz="4" w:space="0"/>
            </w:tcBorders>
            <w:vAlign w:val="center"/>
          </w:tcPr>
          <w:p w14:paraId="2AE5E999">
            <w:pPr>
              <w:keepNext w:val="0"/>
              <w:keepLines w:val="0"/>
              <w:pageBreakBefore w:val="0"/>
              <w:widowControl w:val="0"/>
              <w:kinsoku/>
              <w:wordWrap/>
              <w:overflowPunct/>
              <w:topLinePunct w:val="0"/>
              <w:autoSpaceDE/>
              <w:bidi w:val="0"/>
              <w:adjustRightInd/>
              <w:snapToGrid/>
              <w:spacing w:line="240" w:lineRule="exact"/>
              <w:rPr>
                <w:b w:val="0"/>
                <w:bCs/>
                <w:color w:val="auto"/>
              </w:rPr>
            </w:pPr>
          </w:p>
        </w:tc>
        <w:tc>
          <w:tcPr>
            <w:tcW w:w="3439" w:type="dxa"/>
            <w:gridSpan w:val="5"/>
            <w:tcBorders>
              <w:top w:val="single" w:color="000000" w:sz="4" w:space="0"/>
              <w:left w:val="single" w:color="000000" w:sz="4" w:space="0"/>
              <w:bottom w:val="single" w:color="000000" w:sz="4" w:space="0"/>
              <w:right w:val="single" w:color="000000" w:sz="4" w:space="0"/>
            </w:tcBorders>
            <w:vAlign w:val="center"/>
          </w:tcPr>
          <w:p w14:paraId="51098ADF">
            <w:pPr>
              <w:keepNext w:val="0"/>
              <w:keepLines w:val="0"/>
              <w:pageBreakBefore w:val="0"/>
              <w:widowControl w:val="0"/>
              <w:kinsoku/>
              <w:wordWrap/>
              <w:overflowPunct/>
              <w:topLinePunct w:val="0"/>
              <w:autoSpaceDE/>
              <w:autoSpaceDN w:val="0"/>
              <w:bidi w:val="0"/>
              <w:adjustRightInd/>
              <w:snapToGrid/>
              <w:spacing w:line="240" w:lineRule="exact"/>
              <w:jc w:val="left"/>
              <w:textAlignment w:val="center"/>
              <w:rPr>
                <w:rFonts w:ascii="宋体" w:hAnsi="宋体"/>
                <w:b w:val="0"/>
                <w:bCs/>
                <w:color w:val="auto"/>
                <w:sz w:val="20"/>
              </w:rPr>
            </w:pPr>
          </w:p>
        </w:tc>
        <w:tc>
          <w:tcPr>
            <w:tcW w:w="4326" w:type="dxa"/>
            <w:gridSpan w:val="5"/>
            <w:tcBorders>
              <w:top w:val="single" w:color="000000" w:sz="4" w:space="0"/>
              <w:left w:val="single" w:color="000000" w:sz="4" w:space="0"/>
              <w:bottom w:val="single" w:color="000000" w:sz="4" w:space="0"/>
              <w:right w:val="single" w:color="000000" w:sz="4" w:space="0"/>
            </w:tcBorders>
            <w:vAlign w:val="center"/>
          </w:tcPr>
          <w:p w14:paraId="395F9383">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r>
      <w:tr w14:paraId="18F907CB">
        <w:tblPrEx>
          <w:tblCellMar>
            <w:top w:w="0" w:type="dxa"/>
            <w:left w:w="108" w:type="dxa"/>
            <w:bottom w:w="0" w:type="dxa"/>
            <w:right w:w="108" w:type="dxa"/>
          </w:tblCellMar>
        </w:tblPrEx>
        <w:trPr>
          <w:trHeight w:val="1202" w:hRule="atLeast"/>
        </w:trPr>
        <w:tc>
          <w:tcPr>
            <w:tcW w:w="1331" w:type="dxa"/>
            <w:vMerge w:val="restart"/>
            <w:tcBorders>
              <w:top w:val="single" w:color="000000" w:sz="4" w:space="0"/>
              <w:left w:val="single" w:color="000000" w:sz="4" w:space="0"/>
              <w:bottom w:val="single" w:color="000000" w:sz="4" w:space="0"/>
              <w:right w:val="single" w:color="000000" w:sz="4" w:space="0"/>
            </w:tcBorders>
            <w:vAlign w:val="center"/>
          </w:tcPr>
          <w:p w14:paraId="6403EFB7">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绩</w:t>
            </w:r>
            <w:r>
              <w:rPr>
                <w:rFonts w:ascii="宋体" w:hAnsi="宋体"/>
                <w:b w:val="0"/>
                <w:bCs/>
                <w:color w:val="auto"/>
                <w:sz w:val="20"/>
              </w:rPr>
              <w:br w:type="textWrapping"/>
            </w:r>
            <w:r>
              <w:rPr>
                <w:rFonts w:ascii="宋体" w:hAnsi="宋体"/>
                <w:b w:val="0"/>
                <w:bCs/>
                <w:color w:val="auto"/>
                <w:sz w:val="20"/>
              </w:rPr>
              <w:t>效</w:t>
            </w:r>
            <w:r>
              <w:rPr>
                <w:rFonts w:ascii="宋体" w:hAnsi="宋体"/>
                <w:b w:val="0"/>
                <w:bCs/>
                <w:color w:val="auto"/>
                <w:sz w:val="20"/>
              </w:rPr>
              <w:br w:type="textWrapping"/>
            </w:r>
            <w:r>
              <w:rPr>
                <w:rFonts w:ascii="宋体" w:hAnsi="宋体"/>
                <w:b w:val="0"/>
                <w:bCs/>
                <w:color w:val="auto"/>
                <w:sz w:val="20"/>
              </w:rPr>
              <w:t>指</w:t>
            </w:r>
            <w:r>
              <w:rPr>
                <w:rFonts w:ascii="宋体" w:hAnsi="宋体"/>
                <w:b w:val="0"/>
                <w:bCs/>
                <w:color w:val="auto"/>
                <w:sz w:val="20"/>
              </w:rPr>
              <w:br w:type="textWrapping"/>
            </w:r>
            <w:r>
              <w:rPr>
                <w:rFonts w:ascii="宋体" w:hAnsi="宋体"/>
                <w:b w:val="0"/>
                <w:bCs/>
                <w:color w:val="auto"/>
                <w:sz w:val="20"/>
              </w:rPr>
              <w:t>标</w:t>
            </w:r>
          </w:p>
        </w:tc>
        <w:tc>
          <w:tcPr>
            <w:tcW w:w="531" w:type="dxa"/>
            <w:tcBorders>
              <w:top w:val="single" w:color="000000" w:sz="4" w:space="0"/>
              <w:left w:val="single" w:color="000000" w:sz="4" w:space="0"/>
              <w:bottom w:val="single" w:color="000000" w:sz="4" w:space="0"/>
              <w:right w:val="single" w:color="000000" w:sz="4" w:space="0"/>
            </w:tcBorders>
            <w:vAlign w:val="center"/>
          </w:tcPr>
          <w:p w14:paraId="5AFC8B0F">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一级</w:t>
            </w:r>
            <w:r>
              <w:rPr>
                <w:rFonts w:ascii="宋体" w:hAnsi="宋体"/>
                <w:b w:val="0"/>
                <w:bCs/>
                <w:color w:val="auto"/>
                <w:sz w:val="20"/>
              </w:rPr>
              <w:br w:type="textWrapping"/>
            </w:r>
            <w:r>
              <w:rPr>
                <w:rFonts w:ascii="宋体" w:hAnsi="宋体"/>
                <w:b w:val="0"/>
                <w:bCs/>
                <w:color w:val="auto"/>
                <w:sz w:val="20"/>
              </w:rPr>
              <w:t>指标</w:t>
            </w:r>
          </w:p>
        </w:tc>
        <w:tc>
          <w:tcPr>
            <w:tcW w:w="1057" w:type="dxa"/>
            <w:tcBorders>
              <w:top w:val="single" w:color="000000" w:sz="4" w:space="0"/>
              <w:left w:val="single" w:color="000000" w:sz="4" w:space="0"/>
              <w:bottom w:val="single" w:color="000000" w:sz="4" w:space="0"/>
              <w:right w:val="single" w:color="000000" w:sz="4" w:space="0"/>
            </w:tcBorders>
            <w:vAlign w:val="center"/>
          </w:tcPr>
          <w:p w14:paraId="63590898">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二级</w:t>
            </w:r>
          </w:p>
          <w:p w14:paraId="4A1FFA5A">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指标</w:t>
            </w:r>
          </w:p>
        </w:tc>
        <w:tc>
          <w:tcPr>
            <w:tcW w:w="967" w:type="dxa"/>
            <w:gridSpan w:val="2"/>
            <w:tcBorders>
              <w:top w:val="single" w:color="000000" w:sz="4" w:space="0"/>
              <w:left w:val="single" w:color="000000" w:sz="4" w:space="0"/>
              <w:bottom w:val="single" w:color="000000" w:sz="4" w:space="0"/>
              <w:right w:val="single" w:color="000000" w:sz="4" w:space="0"/>
            </w:tcBorders>
            <w:vAlign w:val="center"/>
          </w:tcPr>
          <w:p w14:paraId="2B22A0D4">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三级</w:t>
            </w:r>
          </w:p>
          <w:p w14:paraId="03F67D6F">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指标</w:t>
            </w:r>
          </w:p>
        </w:tc>
        <w:tc>
          <w:tcPr>
            <w:tcW w:w="884" w:type="dxa"/>
            <w:tcBorders>
              <w:top w:val="single" w:color="000000" w:sz="4" w:space="0"/>
              <w:left w:val="single" w:color="000000" w:sz="4" w:space="0"/>
              <w:bottom w:val="single" w:color="000000" w:sz="4" w:space="0"/>
              <w:right w:val="single" w:color="000000" w:sz="4" w:space="0"/>
            </w:tcBorders>
            <w:vAlign w:val="center"/>
          </w:tcPr>
          <w:p w14:paraId="11CD4566">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指标值</w:t>
            </w:r>
          </w:p>
        </w:tc>
        <w:tc>
          <w:tcPr>
            <w:tcW w:w="1115" w:type="dxa"/>
            <w:tcBorders>
              <w:top w:val="single" w:color="000000" w:sz="4" w:space="0"/>
              <w:left w:val="single" w:color="000000" w:sz="4" w:space="0"/>
              <w:bottom w:val="single" w:color="000000" w:sz="4" w:space="0"/>
              <w:right w:val="single" w:color="000000" w:sz="4" w:space="0"/>
            </w:tcBorders>
            <w:vAlign w:val="center"/>
          </w:tcPr>
          <w:p w14:paraId="4CCF7943">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一级</w:t>
            </w:r>
            <w:r>
              <w:rPr>
                <w:rFonts w:ascii="宋体" w:hAnsi="宋体"/>
                <w:b w:val="0"/>
                <w:bCs/>
                <w:color w:val="auto"/>
                <w:sz w:val="20"/>
              </w:rPr>
              <w:br w:type="textWrapping"/>
            </w:r>
            <w:r>
              <w:rPr>
                <w:rFonts w:ascii="宋体" w:hAnsi="宋体"/>
                <w:b w:val="0"/>
                <w:bCs/>
                <w:color w:val="auto"/>
                <w:sz w:val="20"/>
              </w:rPr>
              <w:t>指标</w:t>
            </w:r>
          </w:p>
        </w:tc>
        <w:tc>
          <w:tcPr>
            <w:tcW w:w="1089" w:type="dxa"/>
            <w:tcBorders>
              <w:top w:val="single" w:color="000000" w:sz="4" w:space="0"/>
              <w:left w:val="single" w:color="000000" w:sz="4" w:space="0"/>
              <w:bottom w:val="single" w:color="000000" w:sz="4" w:space="0"/>
              <w:right w:val="single" w:color="000000" w:sz="4" w:space="0"/>
            </w:tcBorders>
            <w:vAlign w:val="center"/>
          </w:tcPr>
          <w:p w14:paraId="12753286">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二级</w:t>
            </w:r>
          </w:p>
          <w:p w14:paraId="77C740A6">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指标</w:t>
            </w:r>
          </w:p>
        </w:tc>
        <w:tc>
          <w:tcPr>
            <w:tcW w:w="1073" w:type="dxa"/>
            <w:gridSpan w:val="2"/>
            <w:tcBorders>
              <w:top w:val="single" w:color="000000" w:sz="4" w:space="0"/>
              <w:left w:val="single" w:color="000000" w:sz="4" w:space="0"/>
              <w:bottom w:val="single" w:color="000000" w:sz="4" w:space="0"/>
              <w:right w:val="single" w:color="000000" w:sz="4" w:space="0"/>
            </w:tcBorders>
            <w:vAlign w:val="center"/>
          </w:tcPr>
          <w:p w14:paraId="68D35507">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三级</w:t>
            </w:r>
          </w:p>
          <w:p w14:paraId="31297BCA">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指标</w:t>
            </w:r>
          </w:p>
        </w:tc>
        <w:tc>
          <w:tcPr>
            <w:tcW w:w="1049" w:type="dxa"/>
            <w:tcBorders>
              <w:top w:val="single" w:color="000000" w:sz="4" w:space="0"/>
              <w:left w:val="single" w:color="000000" w:sz="4" w:space="0"/>
              <w:bottom w:val="single" w:color="000000" w:sz="4" w:space="0"/>
              <w:right w:val="single" w:color="000000" w:sz="4" w:space="0"/>
            </w:tcBorders>
            <w:vAlign w:val="center"/>
          </w:tcPr>
          <w:p w14:paraId="6E7F91BE">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指标值</w:t>
            </w:r>
          </w:p>
        </w:tc>
      </w:tr>
      <w:tr w14:paraId="28A79260">
        <w:tblPrEx>
          <w:tblCellMar>
            <w:top w:w="0" w:type="dxa"/>
            <w:left w:w="108" w:type="dxa"/>
            <w:bottom w:w="0" w:type="dxa"/>
            <w:right w:w="108" w:type="dxa"/>
          </w:tblCellMar>
        </w:tblPrEx>
        <w:trPr>
          <w:trHeight w:val="555" w:hRule="atLeast"/>
        </w:trPr>
        <w:tc>
          <w:tcPr>
            <w:tcW w:w="1331" w:type="dxa"/>
            <w:vMerge w:val="continue"/>
            <w:tcBorders>
              <w:top w:val="single" w:color="000000" w:sz="4" w:space="0"/>
              <w:left w:val="single" w:color="000000" w:sz="4" w:space="0"/>
              <w:bottom w:val="single" w:color="000000" w:sz="4" w:space="0"/>
              <w:right w:val="single" w:color="000000" w:sz="4" w:space="0"/>
            </w:tcBorders>
            <w:vAlign w:val="center"/>
          </w:tcPr>
          <w:p w14:paraId="6221A106">
            <w:pPr>
              <w:keepNext w:val="0"/>
              <w:keepLines w:val="0"/>
              <w:pageBreakBefore w:val="0"/>
              <w:widowControl w:val="0"/>
              <w:kinsoku/>
              <w:wordWrap/>
              <w:overflowPunct/>
              <w:topLinePunct w:val="0"/>
              <w:autoSpaceDE/>
              <w:bidi w:val="0"/>
              <w:adjustRightInd/>
              <w:snapToGrid/>
              <w:spacing w:line="240" w:lineRule="exact"/>
              <w:rPr>
                <w:b w:val="0"/>
                <w:bCs/>
                <w:color w:val="auto"/>
              </w:rPr>
            </w:pPr>
          </w:p>
        </w:tc>
        <w:tc>
          <w:tcPr>
            <w:tcW w:w="531" w:type="dxa"/>
            <w:vMerge w:val="restart"/>
            <w:tcBorders>
              <w:top w:val="single" w:color="000000" w:sz="4" w:space="0"/>
              <w:left w:val="single" w:color="000000" w:sz="4" w:space="0"/>
              <w:right w:val="single" w:color="000000" w:sz="4" w:space="0"/>
            </w:tcBorders>
            <w:vAlign w:val="center"/>
          </w:tcPr>
          <w:p w14:paraId="329D4039">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产出</w:t>
            </w:r>
          </w:p>
          <w:p w14:paraId="30AEDC04">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指标</w:t>
            </w:r>
          </w:p>
        </w:tc>
        <w:tc>
          <w:tcPr>
            <w:tcW w:w="1057" w:type="dxa"/>
            <w:vMerge w:val="restart"/>
            <w:tcBorders>
              <w:top w:val="single" w:color="000000" w:sz="4" w:space="0"/>
              <w:left w:val="single" w:color="000000" w:sz="4" w:space="0"/>
              <w:bottom w:val="single" w:color="000000" w:sz="4" w:space="0"/>
              <w:right w:val="single" w:color="000000" w:sz="4" w:space="0"/>
            </w:tcBorders>
            <w:vAlign w:val="center"/>
          </w:tcPr>
          <w:p w14:paraId="6A1F2C3F">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数量</w:t>
            </w:r>
          </w:p>
          <w:p w14:paraId="2C452ADC">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指标</w:t>
            </w:r>
          </w:p>
        </w:tc>
        <w:tc>
          <w:tcPr>
            <w:tcW w:w="967" w:type="dxa"/>
            <w:gridSpan w:val="2"/>
            <w:tcBorders>
              <w:top w:val="single" w:color="000000" w:sz="4" w:space="0"/>
              <w:left w:val="single" w:color="000000" w:sz="4" w:space="0"/>
              <w:bottom w:val="single" w:color="000000" w:sz="4" w:space="0"/>
              <w:right w:val="single" w:color="000000" w:sz="4" w:space="0"/>
            </w:tcBorders>
            <w:vAlign w:val="center"/>
          </w:tcPr>
          <w:p w14:paraId="7B4E5111">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884" w:type="dxa"/>
            <w:tcBorders>
              <w:top w:val="single" w:color="000000" w:sz="4" w:space="0"/>
              <w:left w:val="single" w:color="000000" w:sz="4" w:space="0"/>
              <w:bottom w:val="single" w:color="000000" w:sz="4" w:space="0"/>
              <w:right w:val="single" w:color="000000" w:sz="4" w:space="0"/>
            </w:tcBorders>
            <w:vAlign w:val="center"/>
          </w:tcPr>
          <w:p w14:paraId="1E4EC791">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115" w:type="dxa"/>
            <w:vMerge w:val="restart"/>
            <w:tcBorders>
              <w:top w:val="single" w:color="000000" w:sz="4" w:space="0"/>
              <w:left w:val="single" w:color="000000" w:sz="4" w:space="0"/>
              <w:right w:val="single" w:color="000000" w:sz="4" w:space="0"/>
            </w:tcBorders>
            <w:vAlign w:val="center"/>
          </w:tcPr>
          <w:p w14:paraId="00305CAC">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产出</w:t>
            </w:r>
          </w:p>
          <w:p w14:paraId="129ACABB">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指标</w:t>
            </w:r>
          </w:p>
        </w:tc>
        <w:tc>
          <w:tcPr>
            <w:tcW w:w="1089" w:type="dxa"/>
            <w:vMerge w:val="restart"/>
            <w:tcBorders>
              <w:top w:val="single" w:color="000000" w:sz="4" w:space="0"/>
              <w:left w:val="single" w:color="000000" w:sz="4" w:space="0"/>
              <w:bottom w:val="single" w:color="000000" w:sz="4" w:space="0"/>
              <w:right w:val="single" w:color="000000" w:sz="4" w:space="0"/>
            </w:tcBorders>
            <w:vAlign w:val="center"/>
          </w:tcPr>
          <w:p w14:paraId="3DB0B768">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数量指标</w:t>
            </w:r>
          </w:p>
        </w:tc>
        <w:tc>
          <w:tcPr>
            <w:tcW w:w="1073" w:type="dxa"/>
            <w:gridSpan w:val="2"/>
            <w:tcBorders>
              <w:top w:val="single" w:color="000000" w:sz="4" w:space="0"/>
              <w:left w:val="single" w:color="000000" w:sz="4" w:space="0"/>
              <w:bottom w:val="single" w:color="000000" w:sz="4" w:space="0"/>
              <w:right w:val="single" w:color="000000" w:sz="4" w:space="0"/>
            </w:tcBorders>
            <w:vAlign w:val="center"/>
          </w:tcPr>
          <w:p w14:paraId="7D526C94">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049" w:type="dxa"/>
            <w:tcBorders>
              <w:top w:val="single" w:color="000000" w:sz="4" w:space="0"/>
              <w:left w:val="single" w:color="000000" w:sz="4" w:space="0"/>
              <w:bottom w:val="single" w:color="000000" w:sz="4" w:space="0"/>
              <w:right w:val="single" w:color="000000" w:sz="4" w:space="0"/>
            </w:tcBorders>
            <w:vAlign w:val="center"/>
          </w:tcPr>
          <w:p w14:paraId="2FD6E55C">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r>
      <w:tr w14:paraId="6C6FDC5F">
        <w:tblPrEx>
          <w:tblCellMar>
            <w:top w:w="0" w:type="dxa"/>
            <w:left w:w="108" w:type="dxa"/>
            <w:bottom w:w="0" w:type="dxa"/>
            <w:right w:w="108" w:type="dxa"/>
          </w:tblCellMar>
        </w:tblPrEx>
        <w:trPr>
          <w:trHeight w:val="555" w:hRule="atLeast"/>
        </w:trPr>
        <w:tc>
          <w:tcPr>
            <w:tcW w:w="1331" w:type="dxa"/>
            <w:vMerge w:val="continue"/>
            <w:tcBorders>
              <w:top w:val="single" w:color="000000" w:sz="4" w:space="0"/>
              <w:left w:val="single" w:color="000000" w:sz="4" w:space="0"/>
              <w:bottom w:val="single" w:color="000000" w:sz="4" w:space="0"/>
              <w:right w:val="single" w:color="000000" w:sz="4" w:space="0"/>
            </w:tcBorders>
            <w:vAlign w:val="center"/>
          </w:tcPr>
          <w:p w14:paraId="0B68E404">
            <w:pPr>
              <w:keepNext w:val="0"/>
              <w:keepLines w:val="0"/>
              <w:pageBreakBefore w:val="0"/>
              <w:widowControl w:val="0"/>
              <w:kinsoku/>
              <w:wordWrap/>
              <w:overflowPunct/>
              <w:topLinePunct w:val="0"/>
              <w:autoSpaceDE/>
              <w:bidi w:val="0"/>
              <w:adjustRightInd/>
              <w:snapToGrid/>
              <w:spacing w:line="240" w:lineRule="exact"/>
              <w:rPr>
                <w:b w:val="0"/>
                <w:bCs/>
                <w:color w:val="auto"/>
              </w:rPr>
            </w:pPr>
          </w:p>
        </w:tc>
        <w:tc>
          <w:tcPr>
            <w:tcW w:w="531" w:type="dxa"/>
            <w:vMerge w:val="continue"/>
            <w:tcBorders>
              <w:left w:val="single" w:color="000000" w:sz="4" w:space="0"/>
              <w:right w:val="single" w:color="000000" w:sz="4" w:space="0"/>
            </w:tcBorders>
            <w:vAlign w:val="center"/>
          </w:tcPr>
          <w:p w14:paraId="62ACC10F">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057" w:type="dxa"/>
            <w:vMerge w:val="continue"/>
            <w:tcBorders>
              <w:top w:val="single" w:color="000000" w:sz="4" w:space="0"/>
              <w:left w:val="single" w:color="000000" w:sz="4" w:space="0"/>
              <w:bottom w:val="single" w:color="000000" w:sz="4" w:space="0"/>
              <w:right w:val="single" w:color="000000" w:sz="4" w:space="0"/>
            </w:tcBorders>
            <w:vAlign w:val="center"/>
          </w:tcPr>
          <w:p w14:paraId="17722C2D">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967" w:type="dxa"/>
            <w:gridSpan w:val="2"/>
            <w:tcBorders>
              <w:top w:val="single" w:color="000000" w:sz="4" w:space="0"/>
              <w:left w:val="single" w:color="000000" w:sz="4" w:space="0"/>
              <w:bottom w:val="single" w:color="000000" w:sz="4" w:space="0"/>
              <w:right w:val="single" w:color="000000" w:sz="4" w:space="0"/>
            </w:tcBorders>
            <w:vAlign w:val="center"/>
          </w:tcPr>
          <w:p w14:paraId="19CD75E4">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884" w:type="dxa"/>
            <w:tcBorders>
              <w:top w:val="single" w:color="000000" w:sz="4" w:space="0"/>
              <w:left w:val="single" w:color="000000" w:sz="4" w:space="0"/>
              <w:bottom w:val="single" w:color="000000" w:sz="4" w:space="0"/>
              <w:right w:val="single" w:color="000000" w:sz="4" w:space="0"/>
            </w:tcBorders>
            <w:vAlign w:val="center"/>
          </w:tcPr>
          <w:p w14:paraId="5C392218">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115" w:type="dxa"/>
            <w:vMerge w:val="continue"/>
            <w:tcBorders>
              <w:left w:val="single" w:color="000000" w:sz="4" w:space="0"/>
              <w:right w:val="single" w:color="000000" w:sz="4" w:space="0"/>
            </w:tcBorders>
            <w:vAlign w:val="center"/>
          </w:tcPr>
          <w:p w14:paraId="74AA2A84">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089" w:type="dxa"/>
            <w:vMerge w:val="continue"/>
            <w:tcBorders>
              <w:top w:val="single" w:color="000000" w:sz="4" w:space="0"/>
              <w:left w:val="single" w:color="000000" w:sz="4" w:space="0"/>
              <w:bottom w:val="single" w:color="000000" w:sz="4" w:space="0"/>
              <w:right w:val="single" w:color="000000" w:sz="4" w:space="0"/>
            </w:tcBorders>
            <w:vAlign w:val="center"/>
          </w:tcPr>
          <w:p w14:paraId="7E0EA270">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073" w:type="dxa"/>
            <w:gridSpan w:val="2"/>
            <w:tcBorders>
              <w:top w:val="single" w:color="000000" w:sz="4" w:space="0"/>
              <w:left w:val="single" w:color="000000" w:sz="4" w:space="0"/>
              <w:bottom w:val="single" w:color="000000" w:sz="4" w:space="0"/>
              <w:right w:val="single" w:color="000000" w:sz="4" w:space="0"/>
            </w:tcBorders>
            <w:vAlign w:val="center"/>
          </w:tcPr>
          <w:p w14:paraId="08FB74A5">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049" w:type="dxa"/>
            <w:tcBorders>
              <w:top w:val="single" w:color="000000" w:sz="4" w:space="0"/>
              <w:left w:val="single" w:color="000000" w:sz="4" w:space="0"/>
              <w:bottom w:val="single" w:color="000000" w:sz="4" w:space="0"/>
              <w:right w:val="single" w:color="000000" w:sz="4" w:space="0"/>
            </w:tcBorders>
            <w:vAlign w:val="center"/>
          </w:tcPr>
          <w:p w14:paraId="20C88676">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r>
      <w:tr w14:paraId="4C4DEEFE">
        <w:tblPrEx>
          <w:tblCellMar>
            <w:top w:w="0" w:type="dxa"/>
            <w:left w:w="108" w:type="dxa"/>
            <w:bottom w:w="0" w:type="dxa"/>
            <w:right w:w="108" w:type="dxa"/>
          </w:tblCellMar>
        </w:tblPrEx>
        <w:trPr>
          <w:trHeight w:val="555" w:hRule="atLeast"/>
        </w:trPr>
        <w:tc>
          <w:tcPr>
            <w:tcW w:w="1331" w:type="dxa"/>
            <w:vMerge w:val="continue"/>
            <w:tcBorders>
              <w:top w:val="single" w:color="000000" w:sz="4" w:space="0"/>
              <w:left w:val="single" w:color="000000" w:sz="4" w:space="0"/>
              <w:bottom w:val="single" w:color="000000" w:sz="4" w:space="0"/>
              <w:right w:val="single" w:color="000000" w:sz="4" w:space="0"/>
            </w:tcBorders>
            <w:vAlign w:val="center"/>
          </w:tcPr>
          <w:p w14:paraId="435982F9">
            <w:pPr>
              <w:keepNext w:val="0"/>
              <w:keepLines w:val="0"/>
              <w:pageBreakBefore w:val="0"/>
              <w:widowControl w:val="0"/>
              <w:kinsoku/>
              <w:wordWrap/>
              <w:overflowPunct/>
              <w:topLinePunct w:val="0"/>
              <w:autoSpaceDE/>
              <w:bidi w:val="0"/>
              <w:adjustRightInd/>
              <w:snapToGrid/>
              <w:spacing w:line="240" w:lineRule="exact"/>
              <w:rPr>
                <w:b w:val="0"/>
                <w:bCs/>
                <w:color w:val="auto"/>
              </w:rPr>
            </w:pPr>
          </w:p>
        </w:tc>
        <w:tc>
          <w:tcPr>
            <w:tcW w:w="531" w:type="dxa"/>
            <w:vMerge w:val="continue"/>
            <w:tcBorders>
              <w:left w:val="single" w:color="000000" w:sz="4" w:space="0"/>
              <w:right w:val="single" w:color="000000" w:sz="4" w:space="0"/>
            </w:tcBorders>
            <w:vAlign w:val="center"/>
          </w:tcPr>
          <w:p w14:paraId="68D02ADF">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057" w:type="dxa"/>
            <w:vMerge w:val="restart"/>
            <w:tcBorders>
              <w:top w:val="single" w:color="000000" w:sz="4" w:space="0"/>
              <w:left w:val="single" w:color="000000" w:sz="4" w:space="0"/>
              <w:bottom w:val="single" w:color="000000" w:sz="4" w:space="0"/>
              <w:right w:val="single" w:color="000000" w:sz="4" w:space="0"/>
            </w:tcBorders>
            <w:vAlign w:val="center"/>
          </w:tcPr>
          <w:p w14:paraId="2482C525">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质量</w:t>
            </w:r>
          </w:p>
          <w:p w14:paraId="2AA651A5">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指标</w:t>
            </w:r>
          </w:p>
        </w:tc>
        <w:tc>
          <w:tcPr>
            <w:tcW w:w="967" w:type="dxa"/>
            <w:gridSpan w:val="2"/>
            <w:tcBorders>
              <w:top w:val="single" w:color="000000" w:sz="4" w:space="0"/>
              <w:left w:val="single" w:color="000000" w:sz="4" w:space="0"/>
              <w:bottom w:val="single" w:color="000000" w:sz="4" w:space="0"/>
              <w:right w:val="single" w:color="000000" w:sz="4" w:space="0"/>
            </w:tcBorders>
            <w:vAlign w:val="center"/>
          </w:tcPr>
          <w:p w14:paraId="72BE11A0">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884" w:type="dxa"/>
            <w:tcBorders>
              <w:top w:val="single" w:color="000000" w:sz="4" w:space="0"/>
              <w:left w:val="single" w:color="000000" w:sz="4" w:space="0"/>
              <w:bottom w:val="single" w:color="000000" w:sz="4" w:space="0"/>
              <w:right w:val="single" w:color="000000" w:sz="4" w:space="0"/>
            </w:tcBorders>
            <w:vAlign w:val="center"/>
          </w:tcPr>
          <w:p w14:paraId="7469FEBD">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115" w:type="dxa"/>
            <w:vMerge w:val="continue"/>
            <w:tcBorders>
              <w:left w:val="single" w:color="000000" w:sz="4" w:space="0"/>
              <w:right w:val="single" w:color="000000" w:sz="4" w:space="0"/>
            </w:tcBorders>
            <w:vAlign w:val="center"/>
          </w:tcPr>
          <w:p w14:paraId="07C4F824">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089" w:type="dxa"/>
            <w:vMerge w:val="restart"/>
            <w:tcBorders>
              <w:top w:val="single" w:color="000000" w:sz="4" w:space="0"/>
              <w:left w:val="single" w:color="000000" w:sz="4" w:space="0"/>
              <w:bottom w:val="single" w:color="000000" w:sz="4" w:space="0"/>
              <w:right w:val="single" w:color="000000" w:sz="4" w:space="0"/>
            </w:tcBorders>
            <w:vAlign w:val="center"/>
          </w:tcPr>
          <w:p w14:paraId="0117A4E4">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质量指标</w:t>
            </w:r>
          </w:p>
        </w:tc>
        <w:tc>
          <w:tcPr>
            <w:tcW w:w="1073" w:type="dxa"/>
            <w:gridSpan w:val="2"/>
            <w:tcBorders>
              <w:top w:val="single" w:color="000000" w:sz="4" w:space="0"/>
              <w:left w:val="single" w:color="000000" w:sz="4" w:space="0"/>
              <w:bottom w:val="single" w:color="000000" w:sz="4" w:space="0"/>
              <w:right w:val="single" w:color="000000" w:sz="4" w:space="0"/>
            </w:tcBorders>
            <w:vAlign w:val="center"/>
          </w:tcPr>
          <w:p w14:paraId="4EE1603E">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049" w:type="dxa"/>
            <w:tcBorders>
              <w:top w:val="single" w:color="000000" w:sz="4" w:space="0"/>
              <w:left w:val="single" w:color="000000" w:sz="4" w:space="0"/>
              <w:bottom w:val="single" w:color="000000" w:sz="4" w:space="0"/>
              <w:right w:val="single" w:color="000000" w:sz="4" w:space="0"/>
            </w:tcBorders>
            <w:vAlign w:val="center"/>
          </w:tcPr>
          <w:p w14:paraId="3D94408D">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r>
      <w:tr w14:paraId="2AB11336">
        <w:tblPrEx>
          <w:tblCellMar>
            <w:top w:w="0" w:type="dxa"/>
            <w:left w:w="108" w:type="dxa"/>
            <w:bottom w:w="0" w:type="dxa"/>
            <w:right w:w="108" w:type="dxa"/>
          </w:tblCellMar>
        </w:tblPrEx>
        <w:trPr>
          <w:trHeight w:val="555" w:hRule="atLeast"/>
        </w:trPr>
        <w:tc>
          <w:tcPr>
            <w:tcW w:w="1331" w:type="dxa"/>
            <w:vMerge w:val="continue"/>
            <w:tcBorders>
              <w:top w:val="single" w:color="000000" w:sz="4" w:space="0"/>
              <w:left w:val="single" w:color="000000" w:sz="4" w:space="0"/>
              <w:bottom w:val="single" w:color="000000" w:sz="4" w:space="0"/>
              <w:right w:val="single" w:color="000000" w:sz="4" w:space="0"/>
            </w:tcBorders>
            <w:vAlign w:val="center"/>
          </w:tcPr>
          <w:p w14:paraId="520625D4">
            <w:pPr>
              <w:keepNext w:val="0"/>
              <w:keepLines w:val="0"/>
              <w:pageBreakBefore w:val="0"/>
              <w:widowControl w:val="0"/>
              <w:kinsoku/>
              <w:wordWrap/>
              <w:overflowPunct/>
              <w:topLinePunct w:val="0"/>
              <w:autoSpaceDE/>
              <w:bidi w:val="0"/>
              <w:adjustRightInd/>
              <w:snapToGrid/>
              <w:spacing w:line="240" w:lineRule="exact"/>
              <w:rPr>
                <w:b w:val="0"/>
                <w:bCs/>
                <w:color w:val="auto"/>
              </w:rPr>
            </w:pPr>
          </w:p>
        </w:tc>
        <w:tc>
          <w:tcPr>
            <w:tcW w:w="531" w:type="dxa"/>
            <w:vMerge w:val="continue"/>
            <w:tcBorders>
              <w:left w:val="single" w:color="000000" w:sz="4" w:space="0"/>
              <w:right w:val="single" w:color="000000" w:sz="4" w:space="0"/>
            </w:tcBorders>
            <w:vAlign w:val="center"/>
          </w:tcPr>
          <w:p w14:paraId="46B72240">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057" w:type="dxa"/>
            <w:vMerge w:val="continue"/>
            <w:tcBorders>
              <w:top w:val="single" w:color="000000" w:sz="4" w:space="0"/>
              <w:left w:val="single" w:color="000000" w:sz="4" w:space="0"/>
              <w:bottom w:val="single" w:color="000000" w:sz="4" w:space="0"/>
              <w:right w:val="single" w:color="000000" w:sz="4" w:space="0"/>
            </w:tcBorders>
            <w:vAlign w:val="center"/>
          </w:tcPr>
          <w:p w14:paraId="202C1B38">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967" w:type="dxa"/>
            <w:gridSpan w:val="2"/>
            <w:tcBorders>
              <w:top w:val="single" w:color="000000" w:sz="4" w:space="0"/>
              <w:left w:val="single" w:color="000000" w:sz="4" w:space="0"/>
              <w:bottom w:val="single" w:color="000000" w:sz="4" w:space="0"/>
              <w:right w:val="single" w:color="000000" w:sz="4" w:space="0"/>
            </w:tcBorders>
            <w:vAlign w:val="center"/>
          </w:tcPr>
          <w:p w14:paraId="7B041529">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884" w:type="dxa"/>
            <w:tcBorders>
              <w:top w:val="single" w:color="000000" w:sz="4" w:space="0"/>
              <w:left w:val="single" w:color="000000" w:sz="4" w:space="0"/>
              <w:bottom w:val="single" w:color="000000" w:sz="4" w:space="0"/>
              <w:right w:val="single" w:color="000000" w:sz="4" w:space="0"/>
            </w:tcBorders>
            <w:vAlign w:val="center"/>
          </w:tcPr>
          <w:p w14:paraId="307F0034">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115" w:type="dxa"/>
            <w:vMerge w:val="continue"/>
            <w:tcBorders>
              <w:left w:val="single" w:color="000000" w:sz="4" w:space="0"/>
              <w:right w:val="single" w:color="000000" w:sz="4" w:space="0"/>
            </w:tcBorders>
            <w:vAlign w:val="center"/>
          </w:tcPr>
          <w:p w14:paraId="58991856">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089" w:type="dxa"/>
            <w:vMerge w:val="continue"/>
            <w:tcBorders>
              <w:top w:val="single" w:color="000000" w:sz="4" w:space="0"/>
              <w:left w:val="single" w:color="000000" w:sz="4" w:space="0"/>
              <w:bottom w:val="single" w:color="000000" w:sz="4" w:space="0"/>
              <w:right w:val="single" w:color="000000" w:sz="4" w:space="0"/>
            </w:tcBorders>
            <w:vAlign w:val="center"/>
          </w:tcPr>
          <w:p w14:paraId="68EF88EC">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073" w:type="dxa"/>
            <w:gridSpan w:val="2"/>
            <w:tcBorders>
              <w:top w:val="single" w:color="000000" w:sz="4" w:space="0"/>
              <w:left w:val="single" w:color="000000" w:sz="4" w:space="0"/>
              <w:bottom w:val="single" w:color="000000" w:sz="4" w:space="0"/>
              <w:right w:val="single" w:color="000000" w:sz="4" w:space="0"/>
            </w:tcBorders>
            <w:vAlign w:val="center"/>
          </w:tcPr>
          <w:p w14:paraId="1A585BDF">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049" w:type="dxa"/>
            <w:tcBorders>
              <w:top w:val="single" w:color="000000" w:sz="4" w:space="0"/>
              <w:left w:val="single" w:color="000000" w:sz="4" w:space="0"/>
              <w:bottom w:val="single" w:color="000000" w:sz="4" w:space="0"/>
              <w:right w:val="single" w:color="000000" w:sz="4" w:space="0"/>
            </w:tcBorders>
            <w:vAlign w:val="center"/>
          </w:tcPr>
          <w:p w14:paraId="3393C392">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r>
      <w:tr w14:paraId="2082151E">
        <w:tblPrEx>
          <w:tblCellMar>
            <w:top w:w="0" w:type="dxa"/>
            <w:left w:w="108" w:type="dxa"/>
            <w:bottom w:w="0" w:type="dxa"/>
            <w:right w:w="108" w:type="dxa"/>
          </w:tblCellMar>
        </w:tblPrEx>
        <w:trPr>
          <w:trHeight w:val="555" w:hRule="atLeast"/>
        </w:trPr>
        <w:tc>
          <w:tcPr>
            <w:tcW w:w="1331" w:type="dxa"/>
            <w:vMerge w:val="continue"/>
            <w:tcBorders>
              <w:top w:val="single" w:color="000000" w:sz="4" w:space="0"/>
              <w:left w:val="single" w:color="000000" w:sz="4" w:space="0"/>
              <w:bottom w:val="single" w:color="000000" w:sz="4" w:space="0"/>
              <w:right w:val="single" w:color="000000" w:sz="4" w:space="0"/>
            </w:tcBorders>
            <w:vAlign w:val="center"/>
          </w:tcPr>
          <w:p w14:paraId="0C662AD7">
            <w:pPr>
              <w:keepNext w:val="0"/>
              <w:keepLines w:val="0"/>
              <w:pageBreakBefore w:val="0"/>
              <w:widowControl w:val="0"/>
              <w:kinsoku/>
              <w:wordWrap/>
              <w:overflowPunct/>
              <w:topLinePunct w:val="0"/>
              <w:autoSpaceDE/>
              <w:bidi w:val="0"/>
              <w:adjustRightInd/>
              <w:snapToGrid/>
              <w:spacing w:line="240" w:lineRule="exact"/>
              <w:rPr>
                <w:b w:val="0"/>
                <w:bCs/>
                <w:color w:val="auto"/>
              </w:rPr>
            </w:pPr>
          </w:p>
        </w:tc>
        <w:tc>
          <w:tcPr>
            <w:tcW w:w="531" w:type="dxa"/>
            <w:vMerge w:val="continue"/>
            <w:tcBorders>
              <w:left w:val="single" w:color="000000" w:sz="4" w:space="0"/>
              <w:right w:val="single" w:color="000000" w:sz="4" w:space="0"/>
            </w:tcBorders>
            <w:vAlign w:val="center"/>
          </w:tcPr>
          <w:p w14:paraId="6D571767">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057" w:type="dxa"/>
            <w:tcBorders>
              <w:top w:val="single" w:color="000000" w:sz="4" w:space="0"/>
              <w:left w:val="single" w:color="000000" w:sz="4" w:space="0"/>
              <w:bottom w:val="single" w:color="000000" w:sz="4" w:space="0"/>
              <w:right w:val="single" w:color="000000" w:sz="4" w:space="0"/>
            </w:tcBorders>
            <w:vAlign w:val="center"/>
          </w:tcPr>
          <w:p w14:paraId="1E4B3085">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时效</w:t>
            </w:r>
          </w:p>
          <w:p w14:paraId="7AB3633C">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指标</w:t>
            </w:r>
          </w:p>
        </w:tc>
        <w:tc>
          <w:tcPr>
            <w:tcW w:w="967" w:type="dxa"/>
            <w:gridSpan w:val="2"/>
            <w:tcBorders>
              <w:top w:val="single" w:color="000000" w:sz="4" w:space="0"/>
              <w:left w:val="single" w:color="000000" w:sz="4" w:space="0"/>
              <w:bottom w:val="single" w:color="000000" w:sz="4" w:space="0"/>
              <w:right w:val="single" w:color="000000" w:sz="4" w:space="0"/>
            </w:tcBorders>
            <w:vAlign w:val="center"/>
          </w:tcPr>
          <w:p w14:paraId="2C06FB15">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884" w:type="dxa"/>
            <w:tcBorders>
              <w:top w:val="single" w:color="000000" w:sz="4" w:space="0"/>
              <w:left w:val="single" w:color="000000" w:sz="4" w:space="0"/>
              <w:bottom w:val="single" w:color="000000" w:sz="4" w:space="0"/>
              <w:right w:val="single" w:color="000000" w:sz="4" w:space="0"/>
            </w:tcBorders>
            <w:vAlign w:val="center"/>
          </w:tcPr>
          <w:p w14:paraId="6B6C2640">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115" w:type="dxa"/>
            <w:vMerge w:val="continue"/>
            <w:tcBorders>
              <w:left w:val="single" w:color="000000" w:sz="4" w:space="0"/>
              <w:right w:val="single" w:color="000000" w:sz="4" w:space="0"/>
            </w:tcBorders>
            <w:vAlign w:val="center"/>
          </w:tcPr>
          <w:p w14:paraId="35DCF574">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089" w:type="dxa"/>
            <w:tcBorders>
              <w:top w:val="single" w:color="000000" w:sz="4" w:space="0"/>
              <w:left w:val="single" w:color="000000" w:sz="4" w:space="0"/>
              <w:bottom w:val="single" w:color="000000" w:sz="4" w:space="0"/>
              <w:right w:val="single" w:color="000000" w:sz="4" w:space="0"/>
            </w:tcBorders>
            <w:vAlign w:val="center"/>
          </w:tcPr>
          <w:p w14:paraId="31D7DCAF">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时效指标</w:t>
            </w:r>
          </w:p>
        </w:tc>
        <w:tc>
          <w:tcPr>
            <w:tcW w:w="1073" w:type="dxa"/>
            <w:gridSpan w:val="2"/>
            <w:tcBorders>
              <w:top w:val="single" w:color="000000" w:sz="4" w:space="0"/>
              <w:left w:val="single" w:color="000000" w:sz="4" w:space="0"/>
              <w:bottom w:val="single" w:color="000000" w:sz="4" w:space="0"/>
              <w:right w:val="single" w:color="000000" w:sz="4" w:space="0"/>
            </w:tcBorders>
            <w:vAlign w:val="center"/>
          </w:tcPr>
          <w:p w14:paraId="4276E469">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049" w:type="dxa"/>
            <w:tcBorders>
              <w:top w:val="single" w:color="000000" w:sz="4" w:space="0"/>
              <w:left w:val="single" w:color="000000" w:sz="4" w:space="0"/>
              <w:bottom w:val="single" w:color="000000" w:sz="4" w:space="0"/>
              <w:right w:val="single" w:color="000000" w:sz="4" w:space="0"/>
            </w:tcBorders>
            <w:vAlign w:val="center"/>
          </w:tcPr>
          <w:p w14:paraId="399C92DA">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r>
      <w:tr w14:paraId="0657DF28">
        <w:tblPrEx>
          <w:tblCellMar>
            <w:top w:w="0" w:type="dxa"/>
            <w:left w:w="108" w:type="dxa"/>
            <w:bottom w:w="0" w:type="dxa"/>
            <w:right w:w="108" w:type="dxa"/>
          </w:tblCellMar>
        </w:tblPrEx>
        <w:trPr>
          <w:trHeight w:val="555" w:hRule="atLeast"/>
        </w:trPr>
        <w:tc>
          <w:tcPr>
            <w:tcW w:w="1331" w:type="dxa"/>
            <w:vMerge w:val="continue"/>
            <w:tcBorders>
              <w:top w:val="single" w:color="000000" w:sz="4" w:space="0"/>
              <w:left w:val="single" w:color="000000" w:sz="4" w:space="0"/>
              <w:bottom w:val="single" w:color="000000" w:sz="4" w:space="0"/>
              <w:right w:val="single" w:color="000000" w:sz="4" w:space="0"/>
            </w:tcBorders>
            <w:vAlign w:val="center"/>
          </w:tcPr>
          <w:p w14:paraId="24EEDDAC">
            <w:pPr>
              <w:keepNext w:val="0"/>
              <w:keepLines w:val="0"/>
              <w:pageBreakBefore w:val="0"/>
              <w:widowControl w:val="0"/>
              <w:kinsoku/>
              <w:wordWrap/>
              <w:overflowPunct/>
              <w:topLinePunct w:val="0"/>
              <w:autoSpaceDE/>
              <w:bidi w:val="0"/>
              <w:adjustRightInd/>
              <w:snapToGrid/>
              <w:spacing w:line="240" w:lineRule="exact"/>
              <w:rPr>
                <w:b w:val="0"/>
                <w:bCs/>
                <w:color w:val="auto"/>
              </w:rPr>
            </w:pPr>
          </w:p>
        </w:tc>
        <w:tc>
          <w:tcPr>
            <w:tcW w:w="531" w:type="dxa"/>
            <w:vMerge w:val="continue"/>
            <w:tcBorders>
              <w:left w:val="single" w:color="000000" w:sz="4" w:space="0"/>
              <w:bottom w:val="single" w:color="000000" w:sz="4" w:space="0"/>
              <w:right w:val="single" w:color="000000" w:sz="4" w:space="0"/>
            </w:tcBorders>
            <w:vAlign w:val="center"/>
          </w:tcPr>
          <w:p w14:paraId="437C784D">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057" w:type="dxa"/>
            <w:tcBorders>
              <w:top w:val="single" w:color="000000" w:sz="4" w:space="0"/>
              <w:left w:val="single" w:color="000000" w:sz="4" w:space="0"/>
              <w:bottom w:val="single" w:color="000000" w:sz="4" w:space="0"/>
              <w:right w:val="single" w:color="000000" w:sz="4" w:space="0"/>
            </w:tcBorders>
            <w:vAlign w:val="center"/>
          </w:tcPr>
          <w:p w14:paraId="65A2FFD2">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hint="eastAsia" w:ascii="宋体" w:hAnsi="宋体"/>
                <w:b w:val="0"/>
                <w:bCs/>
                <w:color w:val="auto"/>
                <w:sz w:val="20"/>
              </w:rPr>
              <w:t>成本</w:t>
            </w:r>
          </w:p>
          <w:p w14:paraId="1BA1505E">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hint="eastAsia" w:ascii="宋体" w:hAnsi="宋体"/>
                <w:b w:val="0"/>
                <w:bCs/>
                <w:color w:val="auto"/>
                <w:sz w:val="20"/>
              </w:rPr>
              <w:t>指标</w:t>
            </w:r>
          </w:p>
        </w:tc>
        <w:tc>
          <w:tcPr>
            <w:tcW w:w="967" w:type="dxa"/>
            <w:gridSpan w:val="2"/>
            <w:tcBorders>
              <w:top w:val="single" w:color="000000" w:sz="4" w:space="0"/>
              <w:left w:val="single" w:color="000000" w:sz="4" w:space="0"/>
              <w:bottom w:val="single" w:color="000000" w:sz="4" w:space="0"/>
              <w:right w:val="single" w:color="000000" w:sz="4" w:space="0"/>
            </w:tcBorders>
            <w:vAlign w:val="center"/>
          </w:tcPr>
          <w:p w14:paraId="29B45A01">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884" w:type="dxa"/>
            <w:tcBorders>
              <w:top w:val="single" w:color="000000" w:sz="4" w:space="0"/>
              <w:left w:val="single" w:color="000000" w:sz="4" w:space="0"/>
              <w:bottom w:val="single" w:color="000000" w:sz="4" w:space="0"/>
              <w:right w:val="single" w:color="000000" w:sz="4" w:space="0"/>
            </w:tcBorders>
            <w:vAlign w:val="center"/>
          </w:tcPr>
          <w:p w14:paraId="44D96B49">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115" w:type="dxa"/>
            <w:vMerge w:val="continue"/>
            <w:tcBorders>
              <w:left w:val="single" w:color="000000" w:sz="4" w:space="0"/>
              <w:bottom w:val="single" w:color="000000" w:sz="4" w:space="0"/>
              <w:right w:val="single" w:color="000000" w:sz="4" w:space="0"/>
            </w:tcBorders>
            <w:vAlign w:val="center"/>
          </w:tcPr>
          <w:p w14:paraId="79EA1094">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089" w:type="dxa"/>
            <w:tcBorders>
              <w:top w:val="single" w:color="000000" w:sz="4" w:space="0"/>
              <w:left w:val="single" w:color="000000" w:sz="4" w:space="0"/>
              <w:bottom w:val="single" w:color="000000" w:sz="4" w:space="0"/>
              <w:right w:val="single" w:color="000000" w:sz="4" w:space="0"/>
            </w:tcBorders>
            <w:vAlign w:val="center"/>
          </w:tcPr>
          <w:p w14:paraId="05C4618D">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hint="eastAsia" w:ascii="宋体" w:hAnsi="宋体"/>
                <w:b w:val="0"/>
                <w:bCs/>
                <w:color w:val="auto"/>
                <w:sz w:val="20"/>
              </w:rPr>
              <w:t>成本指标</w:t>
            </w:r>
          </w:p>
        </w:tc>
        <w:tc>
          <w:tcPr>
            <w:tcW w:w="1073" w:type="dxa"/>
            <w:gridSpan w:val="2"/>
            <w:tcBorders>
              <w:top w:val="single" w:color="000000" w:sz="4" w:space="0"/>
              <w:left w:val="single" w:color="000000" w:sz="4" w:space="0"/>
              <w:bottom w:val="single" w:color="000000" w:sz="4" w:space="0"/>
              <w:right w:val="single" w:color="000000" w:sz="4" w:space="0"/>
            </w:tcBorders>
            <w:vAlign w:val="center"/>
          </w:tcPr>
          <w:p w14:paraId="1E97B133">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049" w:type="dxa"/>
            <w:tcBorders>
              <w:top w:val="single" w:color="000000" w:sz="4" w:space="0"/>
              <w:left w:val="single" w:color="000000" w:sz="4" w:space="0"/>
              <w:bottom w:val="single" w:color="000000" w:sz="4" w:space="0"/>
              <w:right w:val="single" w:color="000000" w:sz="4" w:space="0"/>
            </w:tcBorders>
            <w:vAlign w:val="center"/>
          </w:tcPr>
          <w:p w14:paraId="27F04AD9">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r>
      <w:tr w14:paraId="7882F0BE">
        <w:tblPrEx>
          <w:tblCellMar>
            <w:top w:w="0" w:type="dxa"/>
            <w:left w:w="108" w:type="dxa"/>
            <w:bottom w:w="0" w:type="dxa"/>
            <w:right w:w="108" w:type="dxa"/>
          </w:tblCellMar>
        </w:tblPrEx>
        <w:trPr>
          <w:trHeight w:val="555" w:hRule="atLeast"/>
        </w:trPr>
        <w:tc>
          <w:tcPr>
            <w:tcW w:w="1331" w:type="dxa"/>
            <w:vMerge w:val="continue"/>
            <w:tcBorders>
              <w:top w:val="single" w:color="000000" w:sz="4" w:space="0"/>
              <w:left w:val="single" w:color="000000" w:sz="4" w:space="0"/>
              <w:bottom w:val="single" w:color="000000" w:sz="4" w:space="0"/>
              <w:right w:val="single" w:color="000000" w:sz="4" w:space="0"/>
            </w:tcBorders>
            <w:vAlign w:val="center"/>
          </w:tcPr>
          <w:p w14:paraId="5A8AE8EB">
            <w:pPr>
              <w:keepNext w:val="0"/>
              <w:keepLines w:val="0"/>
              <w:pageBreakBefore w:val="0"/>
              <w:widowControl w:val="0"/>
              <w:kinsoku/>
              <w:wordWrap/>
              <w:overflowPunct/>
              <w:topLinePunct w:val="0"/>
              <w:autoSpaceDE/>
              <w:bidi w:val="0"/>
              <w:adjustRightInd/>
              <w:snapToGrid/>
              <w:spacing w:line="240" w:lineRule="exact"/>
              <w:rPr>
                <w:b w:val="0"/>
                <w:bCs/>
                <w:color w:val="auto"/>
              </w:rPr>
            </w:pPr>
          </w:p>
        </w:tc>
        <w:tc>
          <w:tcPr>
            <w:tcW w:w="531" w:type="dxa"/>
            <w:vMerge w:val="restart"/>
            <w:tcBorders>
              <w:top w:val="single" w:color="000000" w:sz="4" w:space="0"/>
              <w:left w:val="single" w:color="000000" w:sz="4" w:space="0"/>
              <w:right w:val="single" w:color="000000" w:sz="4" w:space="0"/>
            </w:tcBorders>
            <w:vAlign w:val="center"/>
          </w:tcPr>
          <w:p w14:paraId="3DA0A98F">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效益</w:t>
            </w:r>
          </w:p>
          <w:p w14:paraId="2725EF2B">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指标</w:t>
            </w:r>
          </w:p>
        </w:tc>
        <w:tc>
          <w:tcPr>
            <w:tcW w:w="1057" w:type="dxa"/>
            <w:tcBorders>
              <w:top w:val="single" w:color="000000" w:sz="4" w:space="0"/>
              <w:left w:val="single" w:color="000000" w:sz="4" w:space="0"/>
              <w:bottom w:val="single" w:color="000000" w:sz="4" w:space="0"/>
              <w:right w:val="single" w:color="000000" w:sz="4" w:space="0"/>
            </w:tcBorders>
            <w:vAlign w:val="center"/>
          </w:tcPr>
          <w:p w14:paraId="4978464E">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社会</w:t>
            </w:r>
          </w:p>
          <w:p w14:paraId="1F232D8B">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效益</w:t>
            </w:r>
            <w:r>
              <w:rPr>
                <w:rFonts w:ascii="宋体" w:hAnsi="宋体"/>
                <w:b w:val="0"/>
                <w:bCs/>
                <w:color w:val="auto"/>
                <w:sz w:val="20"/>
              </w:rPr>
              <w:br w:type="textWrapping"/>
            </w:r>
            <w:r>
              <w:rPr>
                <w:rFonts w:ascii="宋体" w:hAnsi="宋体"/>
                <w:b w:val="0"/>
                <w:bCs/>
                <w:color w:val="auto"/>
                <w:sz w:val="20"/>
              </w:rPr>
              <w:t>指标</w:t>
            </w:r>
          </w:p>
        </w:tc>
        <w:tc>
          <w:tcPr>
            <w:tcW w:w="967" w:type="dxa"/>
            <w:gridSpan w:val="2"/>
            <w:tcBorders>
              <w:top w:val="single" w:color="000000" w:sz="4" w:space="0"/>
              <w:left w:val="single" w:color="000000" w:sz="4" w:space="0"/>
              <w:bottom w:val="single" w:color="000000" w:sz="4" w:space="0"/>
              <w:right w:val="single" w:color="000000" w:sz="4" w:space="0"/>
            </w:tcBorders>
            <w:vAlign w:val="center"/>
          </w:tcPr>
          <w:p w14:paraId="769A1209">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884" w:type="dxa"/>
            <w:tcBorders>
              <w:top w:val="single" w:color="000000" w:sz="4" w:space="0"/>
              <w:left w:val="single" w:color="000000" w:sz="4" w:space="0"/>
              <w:bottom w:val="single" w:color="000000" w:sz="4" w:space="0"/>
              <w:right w:val="single" w:color="000000" w:sz="4" w:space="0"/>
            </w:tcBorders>
            <w:vAlign w:val="center"/>
          </w:tcPr>
          <w:p w14:paraId="48CC745D">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115" w:type="dxa"/>
            <w:vMerge w:val="restart"/>
            <w:tcBorders>
              <w:top w:val="single" w:color="000000" w:sz="4" w:space="0"/>
              <w:left w:val="single" w:color="000000" w:sz="4" w:space="0"/>
              <w:right w:val="single" w:color="000000" w:sz="4" w:space="0"/>
            </w:tcBorders>
            <w:vAlign w:val="center"/>
          </w:tcPr>
          <w:p w14:paraId="23482AC9">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效益</w:t>
            </w:r>
          </w:p>
          <w:p w14:paraId="778FB1C4">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指标</w:t>
            </w:r>
          </w:p>
        </w:tc>
        <w:tc>
          <w:tcPr>
            <w:tcW w:w="1089" w:type="dxa"/>
            <w:tcBorders>
              <w:top w:val="single" w:color="000000" w:sz="4" w:space="0"/>
              <w:left w:val="single" w:color="000000" w:sz="4" w:space="0"/>
              <w:bottom w:val="single" w:color="000000" w:sz="4" w:space="0"/>
              <w:right w:val="single" w:color="000000" w:sz="4" w:space="0"/>
            </w:tcBorders>
            <w:vAlign w:val="center"/>
          </w:tcPr>
          <w:p w14:paraId="66FCB3F1">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社会</w:t>
            </w:r>
          </w:p>
          <w:p w14:paraId="6A462EAD">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效益</w:t>
            </w:r>
            <w:r>
              <w:rPr>
                <w:rFonts w:ascii="宋体" w:hAnsi="宋体"/>
                <w:b w:val="0"/>
                <w:bCs/>
                <w:color w:val="auto"/>
                <w:sz w:val="20"/>
              </w:rPr>
              <w:br w:type="textWrapping"/>
            </w:r>
            <w:r>
              <w:rPr>
                <w:rFonts w:ascii="宋体" w:hAnsi="宋体"/>
                <w:b w:val="0"/>
                <w:bCs/>
                <w:color w:val="auto"/>
                <w:sz w:val="20"/>
              </w:rPr>
              <w:t>指标</w:t>
            </w:r>
          </w:p>
        </w:tc>
        <w:tc>
          <w:tcPr>
            <w:tcW w:w="1073" w:type="dxa"/>
            <w:gridSpan w:val="2"/>
            <w:tcBorders>
              <w:top w:val="single" w:color="000000" w:sz="4" w:space="0"/>
              <w:left w:val="single" w:color="000000" w:sz="4" w:space="0"/>
              <w:bottom w:val="single" w:color="000000" w:sz="4" w:space="0"/>
              <w:right w:val="single" w:color="000000" w:sz="4" w:space="0"/>
            </w:tcBorders>
            <w:vAlign w:val="center"/>
          </w:tcPr>
          <w:p w14:paraId="2137EC77">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049" w:type="dxa"/>
            <w:tcBorders>
              <w:top w:val="single" w:color="000000" w:sz="4" w:space="0"/>
              <w:left w:val="single" w:color="000000" w:sz="4" w:space="0"/>
              <w:bottom w:val="single" w:color="000000" w:sz="4" w:space="0"/>
              <w:right w:val="single" w:color="000000" w:sz="4" w:space="0"/>
            </w:tcBorders>
            <w:vAlign w:val="center"/>
          </w:tcPr>
          <w:p w14:paraId="61606768">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r>
      <w:tr w14:paraId="247954BD">
        <w:tblPrEx>
          <w:tblCellMar>
            <w:top w:w="0" w:type="dxa"/>
            <w:left w:w="108" w:type="dxa"/>
            <w:bottom w:w="0" w:type="dxa"/>
            <w:right w:w="108" w:type="dxa"/>
          </w:tblCellMar>
        </w:tblPrEx>
        <w:trPr>
          <w:trHeight w:val="555" w:hRule="atLeast"/>
        </w:trPr>
        <w:tc>
          <w:tcPr>
            <w:tcW w:w="1331" w:type="dxa"/>
            <w:vMerge w:val="continue"/>
            <w:tcBorders>
              <w:top w:val="single" w:color="000000" w:sz="4" w:space="0"/>
              <w:left w:val="single" w:color="000000" w:sz="4" w:space="0"/>
              <w:bottom w:val="single" w:color="000000" w:sz="4" w:space="0"/>
              <w:right w:val="single" w:color="000000" w:sz="4" w:space="0"/>
            </w:tcBorders>
            <w:vAlign w:val="center"/>
          </w:tcPr>
          <w:p w14:paraId="4C282930">
            <w:pPr>
              <w:keepNext w:val="0"/>
              <w:keepLines w:val="0"/>
              <w:pageBreakBefore w:val="0"/>
              <w:widowControl w:val="0"/>
              <w:kinsoku/>
              <w:wordWrap/>
              <w:overflowPunct/>
              <w:topLinePunct w:val="0"/>
              <w:autoSpaceDE/>
              <w:bidi w:val="0"/>
              <w:adjustRightInd/>
              <w:snapToGrid/>
              <w:spacing w:line="240" w:lineRule="exact"/>
              <w:rPr>
                <w:b w:val="0"/>
                <w:bCs/>
                <w:color w:val="auto"/>
              </w:rPr>
            </w:pPr>
          </w:p>
        </w:tc>
        <w:tc>
          <w:tcPr>
            <w:tcW w:w="531" w:type="dxa"/>
            <w:vMerge w:val="continue"/>
            <w:tcBorders>
              <w:left w:val="single" w:color="000000" w:sz="4" w:space="0"/>
              <w:bottom w:val="single" w:color="000000" w:sz="4" w:space="0"/>
              <w:right w:val="single" w:color="000000" w:sz="4" w:space="0"/>
            </w:tcBorders>
            <w:vAlign w:val="center"/>
          </w:tcPr>
          <w:p w14:paraId="2E8B4BA5">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057" w:type="dxa"/>
            <w:tcBorders>
              <w:top w:val="single" w:color="000000" w:sz="4" w:space="0"/>
              <w:left w:val="single" w:color="000000" w:sz="4" w:space="0"/>
              <w:bottom w:val="single" w:color="000000" w:sz="4" w:space="0"/>
              <w:right w:val="single" w:color="000000" w:sz="4" w:space="0"/>
            </w:tcBorders>
            <w:vAlign w:val="center"/>
          </w:tcPr>
          <w:p w14:paraId="56BF0484">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hint="eastAsia" w:ascii="宋体" w:hAnsi="宋体"/>
                <w:b w:val="0"/>
                <w:bCs/>
                <w:color w:val="auto"/>
                <w:sz w:val="20"/>
              </w:rPr>
              <w:t>可持续指标</w:t>
            </w:r>
          </w:p>
        </w:tc>
        <w:tc>
          <w:tcPr>
            <w:tcW w:w="967" w:type="dxa"/>
            <w:gridSpan w:val="2"/>
            <w:tcBorders>
              <w:top w:val="single" w:color="000000" w:sz="4" w:space="0"/>
              <w:left w:val="single" w:color="000000" w:sz="4" w:space="0"/>
              <w:bottom w:val="single" w:color="000000" w:sz="4" w:space="0"/>
              <w:right w:val="single" w:color="000000" w:sz="4" w:space="0"/>
            </w:tcBorders>
            <w:vAlign w:val="center"/>
          </w:tcPr>
          <w:p w14:paraId="718AFF74">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884" w:type="dxa"/>
            <w:tcBorders>
              <w:top w:val="single" w:color="000000" w:sz="4" w:space="0"/>
              <w:left w:val="single" w:color="000000" w:sz="4" w:space="0"/>
              <w:bottom w:val="single" w:color="000000" w:sz="4" w:space="0"/>
              <w:right w:val="single" w:color="000000" w:sz="4" w:space="0"/>
            </w:tcBorders>
            <w:vAlign w:val="center"/>
          </w:tcPr>
          <w:p w14:paraId="676EE630">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115" w:type="dxa"/>
            <w:vMerge w:val="continue"/>
            <w:tcBorders>
              <w:left w:val="single" w:color="000000" w:sz="4" w:space="0"/>
              <w:bottom w:val="single" w:color="000000" w:sz="4" w:space="0"/>
              <w:right w:val="single" w:color="000000" w:sz="4" w:space="0"/>
            </w:tcBorders>
            <w:vAlign w:val="center"/>
          </w:tcPr>
          <w:p w14:paraId="1A347806">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089" w:type="dxa"/>
            <w:tcBorders>
              <w:top w:val="single" w:color="000000" w:sz="4" w:space="0"/>
              <w:left w:val="single" w:color="000000" w:sz="4" w:space="0"/>
              <w:bottom w:val="single" w:color="000000" w:sz="4" w:space="0"/>
              <w:right w:val="single" w:color="000000" w:sz="4" w:space="0"/>
            </w:tcBorders>
            <w:vAlign w:val="center"/>
          </w:tcPr>
          <w:p w14:paraId="29B5D9A0">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hint="eastAsia" w:ascii="宋体" w:hAnsi="宋体"/>
                <w:b w:val="0"/>
                <w:bCs/>
                <w:color w:val="auto"/>
                <w:sz w:val="20"/>
              </w:rPr>
              <w:t>可持续指标</w:t>
            </w:r>
          </w:p>
        </w:tc>
        <w:tc>
          <w:tcPr>
            <w:tcW w:w="1073" w:type="dxa"/>
            <w:gridSpan w:val="2"/>
            <w:tcBorders>
              <w:top w:val="single" w:color="000000" w:sz="4" w:space="0"/>
              <w:left w:val="single" w:color="000000" w:sz="4" w:space="0"/>
              <w:bottom w:val="single" w:color="000000" w:sz="4" w:space="0"/>
              <w:right w:val="single" w:color="000000" w:sz="4" w:space="0"/>
            </w:tcBorders>
            <w:vAlign w:val="center"/>
          </w:tcPr>
          <w:p w14:paraId="3037DB7C">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049" w:type="dxa"/>
            <w:tcBorders>
              <w:top w:val="single" w:color="000000" w:sz="4" w:space="0"/>
              <w:left w:val="single" w:color="000000" w:sz="4" w:space="0"/>
              <w:bottom w:val="single" w:color="000000" w:sz="4" w:space="0"/>
              <w:right w:val="single" w:color="000000" w:sz="4" w:space="0"/>
            </w:tcBorders>
            <w:vAlign w:val="center"/>
          </w:tcPr>
          <w:p w14:paraId="0C1C838E">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r>
      <w:tr w14:paraId="1CE50587">
        <w:tblPrEx>
          <w:tblCellMar>
            <w:top w:w="0" w:type="dxa"/>
            <w:left w:w="108" w:type="dxa"/>
            <w:bottom w:w="0" w:type="dxa"/>
            <w:right w:w="108" w:type="dxa"/>
          </w:tblCellMar>
        </w:tblPrEx>
        <w:trPr>
          <w:trHeight w:val="555" w:hRule="atLeast"/>
        </w:trPr>
        <w:tc>
          <w:tcPr>
            <w:tcW w:w="1331" w:type="dxa"/>
            <w:vMerge w:val="continue"/>
            <w:tcBorders>
              <w:top w:val="single" w:color="000000" w:sz="4" w:space="0"/>
              <w:left w:val="single" w:color="000000" w:sz="4" w:space="0"/>
              <w:bottom w:val="single" w:color="000000" w:sz="4" w:space="0"/>
              <w:right w:val="single" w:color="000000" w:sz="4" w:space="0"/>
            </w:tcBorders>
            <w:vAlign w:val="center"/>
          </w:tcPr>
          <w:p w14:paraId="2C10FBBD">
            <w:pPr>
              <w:keepNext w:val="0"/>
              <w:keepLines w:val="0"/>
              <w:pageBreakBefore w:val="0"/>
              <w:widowControl w:val="0"/>
              <w:kinsoku/>
              <w:wordWrap/>
              <w:overflowPunct/>
              <w:topLinePunct w:val="0"/>
              <w:autoSpaceDE/>
              <w:bidi w:val="0"/>
              <w:adjustRightInd/>
              <w:snapToGrid/>
              <w:spacing w:line="240" w:lineRule="exact"/>
              <w:rPr>
                <w:b w:val="0"/>
                <w:bCs/>
                <w:color w:val="auto"/>
              </w:rPr>
            </w:pPr>
          </w:p>
        </w:tc>
        <w:tc>
          <w:tcPr>
            <w:tcW w:w="531" w:type="dxa"/>
            <w:vMerge w:val="restart"/>
            <w:tcBorders>
              <w:top w:val="single" w:color="000000" w:sz="4" w:space="0"/>
              <w:left w:val="single" w:color="000000" w:sz="4" w:space="0"/>
              <w:bottom w:val="single" w:color="000000" w:sz="4" w:space="0"/>
              <w:right w:val="single" w:color="000000" w:sz="4" w:space="0"/>
            </w:tcBorders>
            <w:vAlign w:val="center"/>
          </w:tcPr>
          <w:p w14:paraId="2CDBF8CA">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满意度</w:t>
            </w:r>
            <w:r>
              <w:rPr>
                <w:rFonts w:ascii="宋体" w:hAnsi="宋体"/>
                <w:b w:val="0"/>
                <w:bCs/>
                <w:color w:val="auto"/>
                <w:sz w:val="20"/>
              </w:rPr>
              <w:br w:type="textWrapping"/>
            </w:r>
            <w:r>
              <w:rPr>
                <w:rFonts w:ascii="宋体" w:hAnsi="宋体"/>
                <w:b w:val="0"/>
                <w:bCs/>
                <w:color w:val="auto"/>
                <w:sz w:val="20"/>
              </w:rPr>
              <w:t>指标</w:t>
            </w:r>
          </w:p>
        </w:tc>
        <w:tc>
          <w:tcPr>
            <w:tcW w:w="1057" w:type="dxa"/>
            <w:vMerge w:val="restart"/>
            <w:tcBorders>
              <w:top w:val="single" w:color="000000" w:sz="4" w:space="0"/>
              <w:left w:val="single" w:color="000000" w:sz="4" w:space="0"/>
              <w:bottom w:val="single" w:color="000000" w:sz="4" w:space="0"/>
              <w:right w:val="single" w:color="000000" w:sz="4" w:space="0"/>
            </w:tcBorders>
            <w:vAlign w:val="center"/>
          </w:tcPr>
          <w:p w14:paraId="712BB1F7">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服务对象满意度指标</w:t>
            </w:r>
          </w:p>
        </w:tc>
        <w:tc>
          <w:tcPr>
            <w:tcW w:w="967" w:type="dxa"/>
            <w:gridSpan w:val="2"/>
            <w:tcBorders>
              <w:top w:val="single" w:color="000000" w:sz="4" w:space="0"/>
              <w:left w:val="single" w:color="000000" w:sz="4" w:space="0"/>
              <w:bottom w:val="single" w:color="000000" w:sz="4" w:space="0"/>
              <w:right w:val="single" w:color="000000" w:sz="4" w:space="0"/>
            </w:tcBorders>
            <w:vAlign w:val="center"/>
          </w:tcPr>
          <w:p w14:paraId="439A6929">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884" w:type="dxa"/>
            <w:tcBorders>
              <w:top w:val="single" w:color="000000" w:sz="4" w:space="0"/>
              <w:left w:val="single" w:color="000000" w:sz="4" w:space="0"/>
              <w:bottom w:val="single" w:color="000000" w:sz="4" w:space="0"/>
              <w:right w:val="single" w:color="000000" w:sz="4" w:space="0"/>
            </w:tcBorders>
            <w:vAlign w:val="center"/>
          </w:tcPr>
          <w:p w14:paraId="5FC617FF">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115" w:type="dxa"/>
            <w:vMerge w:val="restart"/>
            <w:tcBorders>
              <w:top w:val="single" w:color="000000" w:sz="4" w:space="0"/>
              <w:left w:val="single" w:color="000000" w:sz="4" w:space="0"/>
              <w:bottom w:val="single" w:color="000000" w:sz="4" w:space="0"/>
              <w:right w:val="single" w:color="000000" w:sz="4" w:space="0"/>
            </w:tcBorders>
            <w:vAlign w:val="center"/>
          </w:tcPr>
          <w:p w14:paraId="793FFF8B">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满意度  指标</w:t>
            </w:r>
          </w:p>
        </w:tc>
        <w:tc>
          <w:tcPr>
            <w:tcW w:w="1089" w:type="dxa"/>
            <w:vMerge w:val="restart"/>
            <w:tcBorders>
              <w:top w:val="single" w:color="000000" w:sz="4" w:space="0"/>
              <w:left w:val="single" w:color="000000" w:sz="4" w:space="0"/>
              <w:bottom w:val="single" w:color="000000" w:sz="4" w:space="0"/>
              <w:right w:val="single" w:color="000000" w:sz="4" w:space="0"/>
            </w:tcBorders>
            <w:vAlign w:val="center"/>
          </w:tcPr>
          <w:p w14:paraId="37965EA8">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服务对</w:t>
            </w:r>
          </w:p>
          <w:p w14:paraId="4E4C36E0">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象满意</w:t>
            </w:r>
          </w:p>
          <w:p w14:paraId="3A635126">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r>
              <w:rPr>
                <w:rFonts w:ascii="宋体" w:hAnsi="宋体"/>
                <w:b w:val="0"/>
                <w:bCs/>
                <w:color w:val="auto"/>
                <w:sz w:val="20"/>
              </w:rPr>
              <w:t>度指标</w:t>
            </w:r>
          </w:p>
        </w:tc>
        <w:tc>
          <w:tcPr>
            <w:tcW w:w="1073" w:type="dxa"/>
            <w:gridSpan w:val="2"/>
            <w:tcBorders>
              <w:top w:val="single" w:color="000000" w:sz="4" w:space="0"/>
              <w:left w:val="single" w:color="000000" w:sz="4" w:space="0"/>
              <w:bottom w:val="single" w:color="000000" w:sz="4" w:space="0"/>
              <w:right w:val="single" w:color="000000" w:sz="4" w:space="0"/>
            </w:tcBorders>
            <w:vAlign w:val="center"/>
          </w:tcPr>
          <w:p w14:paraId="785F1899">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049" w:type="dxa"/>
            <w:tcBorders>
              <w:top w:val="single" w:color="000000" w:sz="4" w:space="0"/>
              <w:left w:val="single" w:color="000000" w:sz="4" w:space="0"/>
              <w:bottom w:val="single" w:color="000000" w:sz="4" w:space="0"/>
              <w:right w:val="single" w:color="000000" w:sz="4" w:space="0"/>
            </w:tcBorders>
            <w:vAlign w:val="center"/>
          </w:tcPr>
          <w:p w14:paraId="7DAA8205">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r>
      <w:tr w14:paraId="2F45C350">
        <w:tblPrEx>
          <w:tblCellMar>
            <w:top w:w="0" w:type="dxa"/>
            <w:left w:w="108" w:type="dxa"/>
            <w:bottom w:w="0" w:type="dxa"/>
            <w:right w:w="108" w:type="dxa"/>
          </w:tblCellMar>
        </w:tblPrEx>
        <w:trPr>
          <w:trHeight w:val="533" w:hRule="atLeast"/>
        </w:trPr>
        <w:tc>
          <w:tcPr>
            <w:tcW w:w="1331" w:type="dxa"/>
            <w:vMerge w:val="continue"/>
            <w:tcBorders>
              <w:top w:val="single" w:color="000000" w:sz="4" w:space="0"/>
              <w:left w:val="single" w:color="000000" w:sz="4" w:space="0"/>
              <w:bottom w:val="single" w:color="000000" w:sz="4" w:space="0"/>
              <w:right w:val="single" w:color="000000" w:sz="4" w:space="0"/>
            </w:tcBorders>
            <w:vAlign w:val="center"/>
          </w:tcPr>
          <w:p w14:paraId="46106B0D">
            <w:pPr>
              <w:keepNext w:val="0"/>
              <w:keepLines w:val="0"/>
              <w:pageBreakBefore w:val="0"/>
              <w:widowControl w:val="0"/>
              <w:kinsoku/>
              <w:wordWrap/>
              <w:overflowPunct/>
              <w:topLinePunct w:val="0"/>
              <w:autoSpaceDE/>
              <w:bidi w:val="0"/>
              <w:adjustRightInd/>
              <w:snapToGrid/>
              <w:spacing w:line="240" w:lineRule="exact"/>
              <w:rPr>
                <w:b w:val="0"/>
                <w:bCs/>
                <w:color w:val="auto"/>
              </w:rPr>
            </w:pPr>
          </w:p>
        </w:tc>
        <w:tc>
          <w:tcPr>
            <w:tcW w:w="531" w:type="dxa"/>
            <w:vMerge w:val="continue"/>
            <w:tcBorders>
              <w:top w:val="single" w:color="000000" w:sz="4" w:space="0"/>
              <w:left w:val="single" w:color="000000" w:sz="4" w:space="0"/>
              <w:bottom w:val="single" w:color="000000" w:sz="4" w:space="0"/>
              <w:right w:val="single" w:color="000000" w:sz="4" w:space="0"/>
            </w:tcBorders>
            <w:vAlign w:val="center"/>
          </w:tcPr>
          <w:p w14:paraId="6AD8CAAC">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057" w:type="dxa"/>
            <w:vMerge w:val="continue"/>
            <w:tcBorders>
              <w:top w:val="single" w:color="000000" w:sz="4" w:space="0"/>
              <w:left w:val="single" w:color="000000" w:sz="4" w:space="0"/>
              <w:bottom w:val="single" w:color="000000" w:sz="4" w:space="0"/>
              <w:right w:val="single" w:color="000000" w:sz="4" w:space="0"/>
            </w:tcBorders>
            <w:vAlign w:val="center"/>
          </w:tcPr>
          <w:p w14:paraId="7A393F31">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967" w:type="dxa"/>
            <w:gridSpan w:val="2"/>
            <w:tcBorders>
              <w:top w:val="single" w:color="000000" w:sz="4" w:space="0"/>
              <w:left w:val="single" w:color="000000" w:sz="4" w:space="0"/>
              <w:bottom w:val="single" w:color="000000" w:sz="4" w:space="0"/>
              <w:right w:val="single" w:color="000000" w:sz="4" w:space="0"/>
            </w:tcBorders>
            <w:vAlign w:val="center"/>
          </w:tcPr>
          <w:p w14:paraId="143DD4B9">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884" w:type="dxa"/>
            <w:tcBorders>
              <w:top w:val="single" w:color="000000" w:sz="4" w:space="0"/>
              <w:left w:val="single" w:color="000000" w:sz="4" w:space="0"/>
              <w:bottom w:val="single" w:color="000000" w:sz="4" w:space="0"/>
              <w:right w:val="single" w:color="000000" w:sz="4" w:space="0"/>
            </w:tcBorders>
            <w:vAlign w:val="center"/>
          </w:tcPr>
          <w:p w14:paraId="3CF97F04">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115" w:type="dxa"/>
            <w:vMerge w:val="continue"/>
            <w:tcBorders>
              <w:top w:val="single" w:color="000000" w:sz="4" w:space="0"/>
              <w:left w:val="single" w:color="000000" w:sz="4" w:space="0"/>
              <w:bottom w:val="single" w:color="000000" w:sz="4" w:space="0"/>
              <w:right w:val="single" w:color="000000" w:sz="4" w:space="0"/>
            </w:tcBorders>
            <w:vAlign w:val="center"/>
          </w:tcPr>
          <w:p w14:paraId="38F54B7F">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089" w:type="dxa"/>
            <w:vMerge w:val="continue"/>
            <w:tcBorders>
              <w:top w:val="single" w:color="000000" w:sz="4" w:space="0"/>
              <w:left w:val="single" w:color="000000" w:sz="4" w:space="0"/>
              <w:bottom w:val="single" w:color="000000" w:sz="4" w:space="0"/>
              <w:right w:val="single" w:color="000000" w:sz="4" w:space="0"/>
            </w:tcBorders>
            <w:vAlign w:val="center"/>
          </w:tcPr>
          <w:p w14:paraId="1A7AFD86">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073" w:type="dxa"/>
            <w:gridSpan w:val="2"/>
            <w:tcBorders>
              <w:top w:val="single" w:color="000000" w:sz="4" w:space="0"/>
              <w:left w:val="single" w:color="000000" w:sz="4" w:space="0"/>
              <w:bottom w:val="single" w:color="000000" w:sz="4" w:space="0"/>
              <w:right w:val="single" w:color="000000" w:sz="4" w:space="0"/>
            </w:tcBorders>
            <w:vAlign w:val="center"/>
          </w:tcPr>
          <w:p w14:paraId="4CA169D4">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c>
          <w:tcPr>
            <w:tcW w:w="1049" w:type="dxa"/>
            <w:tcBorders>
              <w:top w:val="single" w:color="000000" w:sz="4" w:space="0"/>
              <w:left w:val="single" w:color="000000" w:sz="4" w:space="0"/>
              <w:bottom w:val="single" w:color="000000" w:sz="4" w:space="0"/>
              <w:right w:val="single" w:color="000000" w:sz="4" w:space="0"/>
            </w:tcBorders>
            <w:vAlign w:val="center"/>
          </w:tcPr>
          <w:p w14:paraId="1E686FD8">
            <w:pPr>
              <w:keepNext w:val="0"/>
              <w:keepLines w:val="0"/>
              <w:pageBreakBefore w:val="0"/>
              <w:widowControl w:val="0"/>
              <w:kinsoku/>
              <w:wordWrap/>
              <w:overflowPunct/>
              <w:topLinePunct w:val="0"/>
              <w:autoSpaceDE/>
              <w:autoSpaceDN w:val="0"/>
              <w:bidi w:val="0"/>
              <w:adjustRightInd/>
              <w:snapToGrid/>
              <w:spacing w:line="240" w:lineRule="exact"/>
              <w:jc w:val="center"/>
              <w:textAlignment w:val="center"/>
              <w:rPr>
                <w:rFonts w:ascii="宋体" w:hAnsi="宋体"/>
                <w:b w:val="0"/>
                <w:bCs/>
                <w:color w:val="auto"/>
                <w:sz w:val="20"/>
              </w:rPr>
            </w:pPr>
          </w:p>
        </w:tc>
      </w:tr>
    </w:tbl>
    <w:p w14:paraId="5C02BF8C">
      <w:pPr>
        <w:pStyle w:val="6"/>
        <w:pageBreakBefore w:val="0"/>
        <w:kinsoku/>
        <w:wordWrap/>
        <w:overflowPunct/>
        <w:topLinePunct w:val="0"/>
        <w:autoSpaceDE/>
        <w:bidi w:val="0"/>
        <w:spacing w:after="0" w:line="560" w:lineRule="exact"/>
        <w:ind w:left="0" w:leftChars="0" w:firstLine="0" w:firstLineChars="0"/>
        <w:rPr>
          <w:rFonts w:ascii="仿宋" w:hAnsi="仿宋" w:eastAsia="仿宋"/>
          <w:b w:val="0"/>
          <w:bCs/>
          <w:color w:val="auto"/>
          <w:sz w:val="32"/>
          <w:szCs w:val="32"/>
        </w:rPr>
      </w:pPr>
    </w:p>
    <w:sectPr>
      <w:footerReference r:id="rId3"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C345A">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256836">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4256836">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JmZGEzNWIwMWMzZGNmM2Q5ZDNiMjY2NTlmNWNjOTYifQ=="/>
  </w:docVars>
  <w:rsids>
    <w:rsidRoot w:val="017846D9"/>
    <w:rsid w:val="00082C64"/>
    <w:rsid w:val="000959F4"/>
    <w:rsid w:val="00131019"/>
    <w:rsid w:val="00151E07"/>
    <w:rsid w:val="001D3510"/>
    <w:rsid w:val="0023095E"/>
    <w:rsid w:val="00256C35"/>
    <w:rsid w:val="002859DC"/>
    <w:rsid w:val="002970B6"/>
    <w:rsid w:val="00362D5E"/>
    <w:rsid w:val="00376672"/>
    <w:rsid w:val="003C5629"/>
    <w:rsid w:val="00423351"/>
    <w:rsid w:val="00463E5E"/>
    <w:rsid w:val="00492FEE"/>
    <w:rsid w:val="004B7F3E"/>
    <w:rsid w:val="004D0AD3"/>
    <w:rsid w:val="00623ADD"/>
    <w:rsid w:val="00656F9F"/>
    <w:rsid w:val="00673C87"/>
    <w:rsid w:val="006C7603"/>
    <w:rsid w:val="006E3FB9"/>
    <w:rsid w:val="007209E2"/>
    <w:rsid w:val="00785D88"/>
    <w:rsid w:val="00785FF2"/>
    <w:rsid w:val="007B300B"/>
    <w:rsid w:val="007E4C85"/>
    <w:rsid w:val="008107D6"/>
    <w:rsid w:val="00875E00"/>
    <w:rsid w:val="008E4E8F"/>
    <w:rsid w:val="009030BC"/>
    <w:rsid w:val="00932337"/>
    <w:rsid w:val="009D1022"/>
    <w:rsid w:val="00A0326F"/>
    <w:rsid w:val="00A1706C"/>
    <w:rsid w:val="00A25728"/>
    <w:rsid w:val="00A51A6F"/>
    <w:rsid w:val="00A6563A"/>
    <w:rsid w:val="00AD3DC4"/>
    <w:rsid w:val="00AF4DBB"/>
    <w:rsid w:val="00B54B7E"/>
    <w:rsid w:val="00C11765"/>
    <w:rsid w:val="00C16522"/>
    <w:rsid w:val="00C83CA9"/>
    <w:rsid w:val="00C97CBF"/>
    <w:rsid w:val="00CC2A76"/>
    <w:rsid w:val="00D2102F"/>
    <w:rsid w:val="00D3344A"/>
    <w:rsid w:val="00D34D94"/>
    <w:rsid w:val="00E00AEC"/>
    <w:rsid w:val="00E07E18"/>
    <w:rsid w:val="00E13060"/>
    <w:rsid w:val="00E710D2"/>
    <w:rsid w:val="00E72318"/>
    <w:rsid w:val="00E94858"/>
    <w:rsid w:val="00F476A4"/>
    <w:rsid w:val="00F973BC"/>
    <w:rsid w:val="017846D9"/>
    <w:rsid w:val="02E06799"/>
    <w:rsid w:val="07DF40B7"/>
    <w:rsid w:val="080968AA"/>
    <w:rsid w:val="085378B3"/>
    <w:rsid w:val="08D13DE0"/>
    <w:rsid w:val="0C0B7609"/>
    <w:rsid w:val="105C3642"/>
    <w:rsid w:val="11F56D91"/>
    <w:rsid w:val="147026FF"/>
    <w:rsid w:val="16AF39B2"/>
    <w:rsid w:val="17F48561"/>
    <w:rsid w:val="2265761B"/>
    <w:rsid w:val="3AC42DB4"/>
    <w:rsid w:val="3DEBCE0F"/>
    <w:rsid w:val="3E3D619C"/>
    <w:rsid w:val="3FCDF7BE"/>
    <w:rsid w:val="4DE01ADA"/>
    <w:rsid w:val="4E4B50A4"/>
    <w:rsid w:val="4F7A3F06"/>
    <w:rsid w:val="506359B6"/>
    <w:rsid w:val="54A13C33"/>
    <w:rsid w:val="55CEF546"/>
    <w:rsid w:val="56D32479"/>
    <w:rsid w:val="5EE161F3"/>
    <w:rsid w:val="5FFC56DC"/>
    <w:rsid w:val="62CB6DE7"/>
    <w:rsid w:val="62FE14A6"/>
    <w:rsid w:val="63F13CB5"/>
    <w:rsid w:val="666FB008"/>
    <w:rsid w:val="68EB4C74"/>
    <w:rsid w:val="6B7F9505"/>
    <w:rsid w:val="6BEECCB9"/>
    <w:rsid w:val="6EDD4EF8"/>
    <w:rsid w:val="6FFF0919"/>
    <w:rsid w:val="70656B5E"/>
    <w:rsid w:val="707D0515"/>
    <w:rsid w:val="70DC7595"/>
    <w:rsid w:val="71C821F3"/>
    <w:rsid w:val="74365CEE"/>
    <w:rsid w:val="768F6330"/>
    <w:rsid w:val="77FFE9BA"/>
    <w:rsid w:val="7D93C6A8"/>
    <w:rsid w:val="A7D5BB47"/>
    <w:rsid w:val="B77B1F79"/>
    <w:rsid w:val="B96F530A"/>
    <w:rsid w:val="BF7B9C31"/>
    <w:rsid w:val="BFEBAA63"/>
    <w:rsid w:val="D994C79F"/>
    <w:rsid w:val="DADD971B"/>
    <w:rsid w:val="DC6F6A64"/>
    <w:rsid w:val="DFDFD8A9"/>
    <w:rsid w:val="DFFF72C5"/>
    <w:rsid w:val="F39F5E1C"/>
    <w:rsid w:val="FA754906"/>
    <w:rsid w:val="FB3D7FFF"/>
    <w:rsid w:val="FD7DD793"/>
    <w:rsid w:val="FE1F0351"/>
    <w:rsid w:val="FEEBFB8A"/>
    <w:rsid w:val="FF6BF291"/>
    <w:rsid w:val="FFAEF8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3">
    <w:name w:val="heading 2"/>
    <w:basedOn w:val="1"/>
    <w:next w:val="1"/>
    <w:link w:val="18"/>
    <w:unhideWhenUsed/>
    <w:qFormat/>
    <w:uiPriority w:val="0"/>
    <w:pPr>
      <w:keepNext/>
      <w:keepLines/>
      <w:spacing w:before="50" w:beforeLines="50" w:after="50" w:afterLines="50" w:line="360" w:lineRule="auto"/>
      <w:jc w:val="center"/>
      <w:outlineLvl w:val="1"/>
    </w:pPr>
    <w:rPr>
      <w:rFonts w:eastAsia="黑体" w:asciiTheme="majorHAnsi" w:hAnsiTheme="majorHAnsi" w:cstheme="majorBidi"/>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5"/>
    <w:link w:val="22"/>
    <w:qFormat/>
    <w:uiPriority w:val="0"/>
    <w:pPr>
      <w:spacing w:after="120"/>
    </w:pPr>
  </w:style>
  <w:style w:type="paragraph" w:styleId="5">
    <w:name w:val="index 9"/>
    <w:basedOn w:val="1"/>
    <w:next w:val="1"/>
    <w:qFormat/>
    <w:uiPriority w:val="0"/>
    <w:pPr>
      <w:ind w:left="3360"/>
    </w:pPr>
    <w:rPr>
      <w:rFonts w:ascii="Calibri" w:hAnsi="Calibri" w:eastAsia="宋体" w:cs="Times New Roman"/>
    </w:rPr>
  </w:style>
  <w:style w:type="paragraph" w:styleId="6">
    <w:name w:val="Body Text Indent"/>
    <w:basedOn w:val="1"/>
    <w:qFormat/>
    <w:uiPriority w:val="0"/>
    <w:pPr>
      <w:suppressAutoHyphens/>
      <w:spacing w:after="120"/>
      <w:ind w:left="420" w:leftChars="200"/>
    </w:pPr>
  </w:style>
  <w:style w:type="paragraph" w:styleId="7">
    <w:name w:val="Balloon Text"/>
    <w:basedOn w:val="1"/>
    <w:link w:val="21"/>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unhideWhenUsed/>
    <w:qFormat/>
    <w:uiPriority w:val="99"/>
    <w:pPr>
      <w:spacing w:before="100" w:beforeAutospacing="1" w:after="100" w:afterAutospacing="1"/>
      <w:jc w:val="left"/>
    </w:pPr>
    <w:rPr>
      <w:kern w:val="0"/>
      <w:sz w:val="24"/>
    </w:rPr>
  </w:style>
  <w:style w:type="paragraph" w:styleId="11">
    <w:name w:val="Title"/>
    <w:basedOn w:val="1"/>
    <w:next w:val="6"/>
    <w:link w:val="15"/>
    <w:qFormat/>
    <w:uiPriority w:val="10"/>
    <w:pPr>
      <w:tabs>
        <w:tab w:val="left" w:pos="1770"/>
      </w:tabs>
      <w:suppressAutoHyphens/>
    </w:pPr>
  </w:style>
  <w:style w:type="character" w:styleId="14">
    <w:name w:val="Strong"/>
    <w:basedOn w:val="13"/>
    <w:qFormat/>
    <w:uiPriority w:val="0"/>
    <w:rPr>
      <w:b/>
    </w:rPr>
  </w:style>
  <w:style w:type="character" w:customStyle="1" w:styleId="15">
    <w:name w:val="标题 Char"/>
    <w:basedOn w:val="13"/>
    <w:link w:val="11"/>
    <w:qFormat/>
    <w:uiPriority w:val="10"/>
    <w:rPr>
      <w:rFonts w:ascii="Calibri" w:hAnsi="Calibri" w:eastAsia="宋体" w:cs="Times New Roman"/>
      <w:kern w:val="2"/>
      <w:sz w:val="21"/>
      <w:szCs w:val="24"/>
    </w:rPr>
  </w:style>
  <w:style w:type="character" w:customStyle="1" w:styleId="16">
    <w:name w:val="15"/>
    <w:basedOn w:val="13"/>
    <w:qFormat/>
    <w:uiPriority w:val="0"/>
    <w:rPr>
      <w:rFonts w:hint="default" w:ascii="Calibri" w:hAnsi="Calibri" w:cs="Calibri"/>
      <w:b/>
      <w:bCs/>
    </w:rPr>
  </w:style>
  <w:style w:type="paragraph" w:customStyle="1" w:styleId="17">
    <w:name w:val="正文1"/>
    <w:qFormat/>
    <w:uiPriority w:val="0"/>
    <w:pPr>
      <w:jc w:val="both"/>
    </w:pPr>
    <w:rPr>
      <w:rFonts w:ascii="Calibri" w:hAnsi="Calibri" w:eastAsia="宋体" w:cs="Calibri"/>
      <w:kern w:val="2"/>
      <w:sz w:val="21"/>
      <w:szCs w:val="21"/>
      <w:lang w:val="en-US" w:eastAsia="zh-CN" w:bidi="ar-SA"/>
    </w:rPr>
  </w:style>
  <w:style w:type="character" w:customStyle="1" w:styleId="18">
    <w:name w:val="标题 2 Char"/>
    <w:basedOn w:val="13"/>
    <w:link w:val="3"/>
    <w:qFormat/>
    <w:uiPriority w:val="0"/>
    <w:rPr>
      <w:rFonts w:eastAsia="黑体" w:asciiTheme="majorHAnsi" w:hAnsiTheme="majorHAnsi" w:cstheme="majorBidi"/>
      <w:b/>
      <w:bCs/>
      <w:kern w:val="2"/>
      <w:sz w:val="32"/>
      <w:szCs w:val="32"/>
    </w:rPr>
  </w:style>
  <w:style w:type="paragraph" w:styleId="19">
    <w:name w:val="List Paragraph"/>
    <w:basedOn w:val="1"/>
    <w:qFormat/>
    <w:uiPriority w:val="99"/>
    <w:pPr>
      <w:ind w:firstLine="420" w:firstLineChars="200"/>
    </w:pPr>
  </w:style>
  <w:style w:type="paragraph" w:customStyle="1" w:styleId="20">
    <w:name w:val="正文2"/>
    <w:qFormat/>
    <w:uiPriority w:val="0"/>
    <w:pPr>
      <w:jc w:val="both"/>
    </w:pPr>
    <w:rPr>
      <w:rFonts w:ascii="Calibri" w:hAnsi="Calibri" w:eastAsia="宋体" w:cs="Calibri"/>
      <w:kern w:val="2"/>
      <w:sz w:val="21"/>
      <w:szCs w:val="21"/>
      <w:lang w:val="en-US" w:eastAsia="zh-CN" w:bidi="ar-SA"/>
    </w:rPr>
  </w:style>
  <w:style w:type="character" w:customStyle="1" w:styleId="21">
    <w:name w:val="批注框文本 Char"/>
    <w:basedOn w:val="13"/>
    <w:link w:val="7"/>
    <w:qFormat/>
    <w:uiPriority w:val="0"/>
    <w:rPr>
      <w:rFonts w:ascii="Calibri" w:hAnsi="Calibri" w:eastAsia="宋体" w:cs="Times New Roman"/>
      <w:kern w:val="2"/>
      <w:sz w:val="18"/>
      <w:szCs w:val="18"/>
    </w:rPr>
  </w:style>
  <w:style w:type="character" w:customStyle="1" w:styleId="22">
    <w:name w:val="正文文本 Char"/>
    <w:basedOn w:val="13"/>
    <w:link w:val="4"/>
    <w:qFormat/>
    <w:uiPriority w:val="0"/>
    <w:rPr>
      <w:rFonts w:ascii="Calibri" w:hAnsi="Calibri" w:eastAsia="宋体" w:cs="Times New Roman"/>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4172</Words>
  <Characters>4205</Characters>
  <Lines>1</Lines>
  <Paragraphs>1</Paragraphs>
  <TotalTime>58</TotalTime>
  <ScaleCrop>false</ScaleCrop>
  <LinksUpToDate>false</LinksUpToDate>
  <CharactersWithSpaces>4332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2025-06-05T23:37:00Z</dcterms:created>
  <dc:creator>阿图</dc:creator>
  <cp:lastModifiedBy>WPS_1620267379</cp:lastModifiedBy>
  <cp:lastPrinted>2025-07-03T17:20:00Z</cp:lastPrinted>
  <dcterms:modified xsi:type="dcterms:W3CDTF">2026-02-02T06:08:30Z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4E8D71FC4877498DA91B7BF6DA497A56_13</vt:lpwstr>
  </property>
  <property fmtid="{D5CDD505-2E9C-101B-9397-08002B2CF9AE}" pid="4" name="KSOTemplateDocerSaveRecord">
    <vt:lpwstr>eyJoZGlkIjoiZjJiYzRjZDg4ODIxMmZkMzVjYzYxNzIzMDEwYjJjY2IiLCJ1c2VySWQiOiIxMjA4MzE1MjAyIn0=</vt:lpwstr>
  </property>
</Properties>
</file>